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1E" w:rsidRDefault="006E795E" w:rsidP="007661F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Э</w:t>
      </w:r>
      <w:r w:rsidR="006A0BA8">
        <w:rPr>
          <w:rFonts w:ascii="Times New Roman" w:hAnsi="Times New Roman"/>
          <w:b/>
          <w:color w:val="000000"/>
          <w:sz w:val="24"/>
          <w:szCs w:val="24"/>
        </w:rPr>
        <w:t>КСПЛУАТАЦИОННАЯ</w:t>
      </w:r>
      <w:r>
        <w:rPr>
          <w:rFonts w:ascii="Times New Roman" w:hAnsi="Times New Roman"/>
          <w:b/>
          <w:color w:val="000000"/>
          <w:sz w:val="24"/>
          <w:szCs w:val="24"/>
        </w:rPr>
        <w:t xml:space="preserve"> </w:t>
      </w:r>
      <w:r w:rsidR="006A0BA8">
        <w:rPr>
          <w:rFonts w:ascii="Times New Roman" w:hAnsi="Times New Roman"/>
          <w:b/>
          <w:color w:val="000000"/>
          <w:sz w:val="24"/>
          <w:szCs w:val="24"/>
        </w:rPr>
        <w:t>НАДЕЖНОСТЬ</w:t>
      </w:r>
      <w:r>
        <w:rPr>
          <w:rFonts w:ascii="Times New Roman" w:hAnsi="Times New Roman"/>
          <w:b/>
          <w:color w:val="000000"/>
          <w:sz w:val="24"/>
          <w:szCs w:val="24"/>
        </w:rPr>
        <w:t xml:space="preserve"> </w:t>
      </w:r>
      <w:r w:rsidR="006A0BA8">
        <w:rPr>
          <w:rFonts w:ascii="Times New Roman" w:hAnsi="Times New Roman"/>
          <w:b/>
          <w:color w:val="000000"/>
          <w:sz w:val="24"/>
          <w:szCs w:val="24"/>
        </w:rPr>
        <w:t>ПРОДУКЦИИ</w:t>
      </w:r>
      <w:r>
        <w:rPr>
          <w:rFonts w:ascii="Times New Roman" w:hAnsi="Times New Roman"/>
          <w:b/>
          <w:color w:val="000000"/>
          <w:sz w:val="24"/>
          <w:szCs w:val="24"/>
        </w:rPr>
        <w:t xml:space="preserve"> </w:t>
      </w:r>
      <w:r w:rsidR="006A0BA8">
        <w:rPr>
          <w:rFonts w:ascii="Times New Roman" w:hAnsi="Times New Roman"/>
          <w:b/>
          <w:color w:val="000000"/>
          <w:sz w:val="24"/>
          <w:szCs w:val="24"/>
        </w:rPr>
        <w:t>ПРОИЗВОДСТВА</w:t>
      </w:r>
      <w:r>
        <w:rPr>
          <w:rFonts w:ascii="Times New Roman" w:hAnsi="Times New Roman"/>
          <w:b/>
          <w:color w:val="000000"/>
          <w:sz w:val="24"/>
          <w:szCs w:val="24"/>
        </w:rPr>
        <w:t xml:space="preserve"> </w:t>
      </w:r>
    </w:p>
    <w:p w:rsidR="00AF55A6" w:rsidRDefault="006E795E" w:rsidP="007661F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ЗАО «</w:t>
      </w:r>
      <w:r w:rsidR="006A0BA8">
        <w:rPr>
          <w:rFonts w:ascii="Times New Roman" w:hAnsi="Times New Roman"/>
          <w:b/>
          <w:color w:val="000000"/>
          <w:sz w:val="24"/>
          <w:szCs w:val="24"/>
        </w:rPr>
        <w:t>ПРОМСЕРВИС</w:t>
      </w:r>
      <w:r>
        <w:rPr>
          <w:rFonts w:ascii="Times New Roman" w:hAnsi="Times New Roman"/>
          <w:b/>
          <w:color w:val="000000"/>
          <w:sz w:val="24"/>
          <w:szCs w:val="24"/>
        </w:rPr>
        <w:t>»</w:t>
      </w:r>
    </w:p>
    <w:p w:rsidR="007661FE" w:rsidRDefault="007661FE" w:rsidP="007661FE">
      <w:pPr>
        <w:spacing w:after="0" w:line="240" w:lineRule="auto"/>
        <w:jc w:val="center"/>
        <w:rPr>
          <w:rFonts w:ascii="Times New Roman" w:hAnsi="Times New Roman"/>
          <w:b/>
          <w:color w:val="000000"/>
          <w:sz w:val="24"/>
          <w:szCs w:val="24"/>
        </w:rPr>
      </w:pPr>
    </w:p>
    <w:p w:rsidR="007661FE" w:rsidRDefault="007661FE" w:rsidP="007661F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С.В. Тонеев</w:t>
      </w:r>
    </w:p>
    <w:p w:rsidR="007661FE" w:rsidRDefault="007661FE" w:rsidP="003029DB">
      <w:pPr>
        <w:spacing w:after="0" w:line="240" w:lineRule="auto"/>
        <w:jc w:val="center"/>
        <w:rPr>
          <w:rFonts w:ascii="Times New Roman" w:hAnsi="Times New Roman"/>
          <w:sz w:val="24"/>
          <w:szCs w:val="24"/>
        </w:rPr>
      </w:pPr>
    </w:p>
    <w:p w:rsidR="003D3640" w:rsidRPr="002169D5" w:rsidRDefault="008F6F1E" w:rsidP="003029DB">
      <w:pPr>
        <w:pStyle w:val="2"/>
        <w:spacing w:after="0" w:line="240" w:lineRule="auto"/>
        <w:ind w:left="0" w:firstLine="709"/>
        <w:jc w:val="both"/>
        <w:rPr>
          <w:sz w:val="22"/>
          <w:szCs w:val="22"/>
        </w:rPr>
      </w:pPr>
      <w:r>
        <w:rPr>
          <w:sz w:val="22"/>
          <w:szCs w:val="22"/>
        </w:rPr>
        <w:t>На предприятии</w:t>
      </w:r>
      <w:r w:rsidR="003D3640" w:rsidRPr="002169D5">
        <w:rPr>
          <w:sz w:val="22"/>
          <w:szCs w:val="22"/>
        </w:rPr>
        <w:t xml:space="preserve"> ЗАО «ПромСервис» действует Система Менеджмента Качества (СМК), которая в свою очередь  определила требования к процессам ремонта и сервисного обслуживания, технического консультирования. </w:t>
      </w:r>
    </w:p>
    <w:p w:rsidR="003D3640" w:rsidRPr="002169D5" w:rsidRDefault="003D3640" w:rsidP="003029DB">
      <w:pPr>
        <w:pStyle w:val="2"/>
        <w:spacing w:after="0" w:line="240" w:lineRule="auto"/>
        <w:ind w:left="0" w:firstLine="709"/>
        <w:jc w:val="both"/>
        <w:rPr>
          <w:sz w:val="22"/>
          <w:szCs w:val="22"/>
        </w:rPr>
      </w:pPr>
      <w:r w:rsidRPr="002169D5">
        <w:rPr>
          <w:sz w:val="22"/>
          <w:szCs w:val="22"/>
        </w:rPr>
        <w:t>Службой технической поддержки ежеквартально и ежегодно составляются отчеты-анализы поступивших рекламаций и обслуживания, а также проводится сравнительный анализ статистики выхода из строя приборной продукции.</w:t>
      </w:r>
    </w:p>
    <w:p w:rsidR="003D3640" w:rsidRPr="002169D5" w:rsidRDefault="00DB0A8C" w:rsidP="003029DB">
      <w:pPr>
        <w:pStyle w:val="2"/>
        <w:spacing w:after="0" w:line="240" w:lineRule="auto"/>
        <w:ind w:left="0" w:firstLine="709"/>
        <w:jc w:val="both"/>
        <w:rPr>
          <w:sz w:val="22"/>
          <w:szCs w:val="22"/>
        </w:rPr>
      </w:pPr>
      <w:r w:rsidRPr="002169D5">
        <w:rPr>
          <w:sz w:val="22"/>
          <w:szCs w:val="22"/>
        </w:rPr>
        <w:t>В рамках этой статьи мы рассмотрим данные из ежегодных отчетов-анализов по приборам производства ЗАО «ПромСервис»:</w:t>
      </w:r>
    </w:p>
    <w:p w:rsidR="00DB0A8C" w:rsidRPr="002169D5" w:rsidRDefault="00DB0A8C" w:rsidP="003029DB">
      <w:pPr>
        <w:pStyle w:val="2"/>
        <w:numPr>
          <w:ilvl w:val="0"/>
          <w:numId w:val="12"/>
        </w:numPr>
        <w:spacing w:after="0" w:line="240" w:lineRule="auto"/>
        <w:jc w:val="both"/>
        <w:rPr>
          <w:sz w:val="22"/>
          <w:szCs w:val="22"/>
        </w:rPr>
      </w:pPr>
      <w:r w:rsidRPr="002169D5">
        <w:rPr>
          <w:sz w:val="22"/>
          <w:szCs w:val="22"/>
        </w:rPr>
        <w:t>преобразователи расхода ВЭПС всех модификаций;</w:t>
      </w:r>
    </w:p>
    <w:p w:rsidR="00DB0A8C" w:rsidRPr="002169D5" w:rsidRDefault="00DB0A8C" w:rsidP="003029DB">
      <w:pPr>
        <w:pStyle w:val="2"/>
        <w:numPr>
          <w:ilvl w:val="0"/>
          <w:numId w:val="12"/>
        </w:numPr>
        <w:spacing w:after="0" w:line="240" w:lineRule="auto"/>
        <w:jc w:val="both"/>
        <w:rPr>
          <w:sz w:val="22"/>
          <w:szCs w:val="22"/>
        </w:rPr>
      </w:pPr>
      <w:r w:rsidRPr="002169D5">
        <w:rPr>
          <w:sz w:val="22"/>
          <w:szCs w:val="22"/>
        </w:rPr>
        <w:t>преобразователи расхода ЭМИР-ПРАМЕР-550 с фторопластовым покрытием;</w:t>
      </w:r>
    </w:p>
    <w:p w:rsidR="00DB0A8C" w:rsidRPr="002169D5" w:rsidRDefault="00DB0A8C" w:rsidP="003029DB">
      <w:pPr>
        <w:pStyle w:val="2"/>
        <w:numPr>
          <w:ilvl w:val="0"/>
          <w:numId w:val="12"/>
        </w:numPr>
        <w:spacing w:after="0" w:line="240" w:lineRule="auto"/>
        <w:jc w:val="both"/>
        <w:rPr>
          <w:sz w:val="22"/>
          <w:szCs w:val="22"/>
        </w:rPr>
      </w:pPr>
      <w:r w:rsidRPr="002169D5">
        <w:rPr>
          <w:sz w:val="22"/>
          <w:szCs w:val="22"/>
        </w:rPr>
        <w:t>термоконтролеры Прамер-710-01;</w:t>
      </w:r>
    </w:p>
    <w:p w:rsidR="00DB0A8C" w:rsidRPr="002169D5" w:rsidRDefault="00DB0A8C" w:rsidP="003029DB">
      <w:pPr>
        <w:pStyle w:val="2"/>
        <w:numPr>
          <w:ilvl w:val="0"/>
          <w:numId w:val="12"/>
        </w:numPr>
        <w:spacing w:after="0" w:line="240" w:lineRule="auto"/>
        <w:jc w:val="both"/>
        <w:rPr>
          <w:sz w:val="22"/>
          <w:szCs w:val="22"/>
        </w:rPr>
      </w:pPr>
      <w:r w:rsidRPr="002169D5">
        <w:rPr>
          <w:sz w:val="22"/>
          <w:szCs w:val="22"/>
        </w:rPr>
        <w:t>блоки питания БП-2-12В;</w:t>
      </w:r>
    </w:p>
    <w:p w:rsidR="00DB0A8C" w:rsidRPr="002169D5" w:rsidRDefault="00DB0A8C" w:rsidP="003029DB">
      <w:pPr>
        <w:pStyle w:val="2"/>
        <w:numPr>
          <w:ilvl w:val="0"/>
          <w:numId w:val="12"/>
        </w:numPr>
        <w:spacing w:after="0" w:line="240" w:lineRule="auto"/>
        <w:jc w:val="both"/>
        <w:rPr>
          <w:sz w:val="22"/>
          <w:szCs w:val="22"/>
        </w:rPr>
      </w:pPr>
      <w:r w:rsidRPr="002169D5">
        <w:rPr>
          <w:sz w:val="22"/>
          <w:szCs w:val="22"/>
        </w:rPr>
        <w:t>блоки автоматические регистрационно-связные БАРС-02-Р.</w:t>
      </w:r>
    </w:p>
    <w:p w:rsidR="00DB0A8C" w:rsidRPr="002169D5" w:rsidRDefault="00DB0A8C" w:rsidP="003029DB">
      <w:pPr>
        <w:pStyle w:val="2"/>
        <w:spacing w:after="0" w:line="240" w:lineRule="auto"/>
        <w:ind w:left="0" w:firstLine="709"/>
        <w:jc w:val="both"/>
        <w:rPr>
          <w:sz w:val="22"/>
          <w:szCs w:val="22"/>
        </w:rPr>
      </w:pPr>
      <w:r w:rsidRPr="002169D5">
        <w:rPr>
          <w:sz w:val="22"/>
          <w:szCs w:val="22"/>
        </w:rPr>
        <w:t>Отчет-анализ поступающих рекламаций составляется на основе данных о произведенных ремонтах приборов, в том числе:</w:t>
      </w:r>
    </w:p>
    <w:p w:rsidR="00DB0A8C" w:rsidRPr="002169D5" w:rsidRDefault="00DB0A8C" w:rsidP="003029DB">
      <w:pPr>
        <w:pStyle w:val="2"/>
        <w:numPr>
          <w:ilvl w:val="0"/>
          <w:numId w:val="13"/>
        </w:numPr>
        <w:tabs>
          <w:tab w:val="clear" w:pos="1429"/>
          <w:tab w:val="num" w:pos="709"/>
        </w:tabs>
        <w:spacing w:after="0" w:line="240" w:lineRule="auto"/>
        <w:ind w:left="284" w:firstLine="142"/>
        <w:jc w:val="both"/>
        <w:rPr>
          <w:sz w:val="22"/>
          <w:szCs w:val="22"/>
        </w:rPr>
      </w:pPr>
      <w:r w:rsidRPr="002169D5">
        <w:rPr>
          <w:sz w:val="22"/>
          <w:szCs w:val="22"/>
        </w:rPr>
        <w:t>гарантийных ремонтов приборов;</w:t>
      </w:r>
    </w:p>
    <w:p w:rsidR="008F6F1E" w:rsidRDefault="00DB0A8C" w:rsidP="003029DB">
      <w:pPr>
        <w:pStyle w:val="2"/>
        <w:numPr>
          <w:ilvl w:val="0"/>
          <w:numId w:val="13"/>
        </w:numPr>
        <w:tabs>
          <w:tab w:val="clear" w:pos="1429"/>
          <w:tab w:val="num" w:pos="709"/>
        </w:tabs>
        <w:spacing w:after="0" w:line="240" w:lineRule="auto"/>
        <w:ind w:left="0" w:firstLine="426"/>
        <w:jc w:val="both"/>
        <w:rPr>
          <w:sz w:val="22"/>
          <w:szCs w:val="22"/>
        </w:rPr>
      </w:pPr>
      <w:r w:rsidRPr="002169D5">
        <w:rPr>
          <w:sz w:val="22"/>
          <w:szCs w:val="22"/>
        </w:rPr>
        <w:t xml:space="preserve">не гарантийных ремонтов приборов. </w:t>
      </w:r>
    </w:p>
    <w:p w:rsidR="00DB0A8C" w:rsidRPr="002169D5" w:rsidRDefault="00DB0A8C" w:rsidP="008F6F1E">
      <w:pPr>
        <w:pStyle w:val="2"/>
        <w:spacing w:after="0" w:line="240" w:lineRule="auto"/>
        <w:ind w:left="0" w:firstLine="709"/>
        <w:jc w:val="both"/>
        <w:rPr>
          <w:sz w:val="22"/>
          <w:szCs w:val="22"/>
        </w:rPr>
      </w:pPr>
      <w:r w:rsidRPr="002169D5">
        <w:rPr>
          <w:sz w:val="22"/>
          <w:szCs w:val="22"/>
        </w:rPr>
        <w:t>Вышедшие из строя по истечении гарантийного срока приборы подразделяются на группы:</w:t>
      </w:r>
    </w:p>
    <w:p w:rsidR="00DB0A8C" w:rsidRPr="002169D5" w:rsidRDefault="00DB0A8C" w:rsidP="008F6F1E">
      <w:pPr>
        <w:pStyle w:val="2"/>
        <w:spacing w:after="0" w:line="240" w:lineRule="auto"/>
        <w:ind w:left="0"/>
        <w:jc w:val="both"/>
        <w:rPr>
          <w:sz w:val="22"/>
          <w:szCs w:val="22"/>
        </w:rPr>
      </w:pPr>
      <w:r w:rsidRPr="002169D5">
        <w:rPr>
          <w:sz w:val="22"/>
          <w:szCs w:val="22"/>
        </w:rPr>
        <w:t>а) отказ произошел по вине производителя (конструктивный отказ, производствен</w:t>
      </w:r>
      <w:r w:rsidR="008F6F1E">
        <w:rPr>
          <w:sz w:val="22"/>
          <w:szCs w:val="22"/>
        </w:rPr>
        <w:t>ный отказ, отказ комплектующих)</w:t>
      </w:r>
      <w:r w:rsidRPr="002169D5">
        <w:rPr>
          <w:sz w:val="22"/>
          <w:szCs w:val="22"/>
        </w:rPr>
        <w:t>;</w:t>
      </w:r>
    </w:p>
    <w:p w:rsidR="00DB0A8C" w:rsidRPr="002169D5" w:rsidRDefault="00DB0A8C" w:rsidP="008F6F1E">
      <w:pPr>
        <w:pStyle w:val="2"/>
        <w:spacing w:after="0" w:line="240" w:lineRule="auto"/>
        <w:ind w:left="0"/>
        <w:jc w:val="both"/>
        <w:rPr>
          <w:sz w:val="22"/>
          <w:szCs w:val="22"/>
        </w:rPr>
      </w:pPr>
      <w:r w:rsidRPr="002169D5">
        <w:rPr>
          <w:sz w:val="22"/>
          <w:szCs w:val="22"/>
        </w:rPr>
        <w:t>б) отказ произошел не по вине производителя (ресурсный отказ, эксплуатационный отказ).</w:t>
      </w:r>
    </w:p>
    <w:p w:rsidR="00DB0A8C" w:rsidRPr="002169D5" w:rsidRDefault="00E84121" w:rsidP="003029DB">
      <w:pPr>
        <w:pStyle w:val="2"/>
        <w:spacing w:after="0" w:line="240" w:lineRule="auto"/>
        <w:ind w:left="567" w:firstLine="142"/>
        <w:jc w:val="both"/>
        <w:rPr>
          <w:sz w:val="22"/>
          <w:szCs w:val="22"/>
        </w:rPr>
      </w:pPr>
      <w:r w:rsidRPr="002169D5">
        <w:rPr>
          <w:sz w:val="22"/>
          <w:szCs w:val="22"/>
        </w:rPr>
        <w:t>Отказы, произошедшие по вине производителя</w:t>
      </w:r>
      <w:r w:rsidR="006A0BA8" w:rsidRPr="002169D5">
        <w:rPr>
          <w:sz w:val="22"/>
          <w:szCs w:val="22"/>
        </w:rPr>
        <w:t>,</w:t>
      </w:r>
      <w:r w:rsidRPr="002169D5">
        <w:rPr>
          <w:sz w:val="22"/>
          <w:szCs w:val="22"/>
        </w:rPr>
        <w:t xml:space="preserve"> включа</w:t>
      </w:r>
      <w:r w:rsidR="006A0BA8" w:rsidRPr="002169D5">
        <w:rPr>
          <w:sz w:val="22"/>
          <w:szCs w:val="22"/>
        </w:rPr>
        <w:t>ю</w:t>
      </w:r>
      <w:r w:rsidRPr="002169D5">
        <w:rPr>
          <w:sz w:val="22"/>
          <w:szCs w:val="22"/>
        </w:rPr>
        <w:t>т отказы:</w:t>
      </w:r>
    </w:p>
    <w:p w:rsidR="00E84121" w:rsidRPr="002169D5" w:rsidRDefault="00E84121" w:rsidP="008F6F1E">
      <w:pPr>
        <w:pStyle w:val="2"/>
        <w:numPr>
          <w:ilvl w:val="0"/>
          <w:numId w:val="18"/>
        </w:numPr>
        <w:spacing w:after="0" w:line="240" w:lineRule="auto"/>
        <w:jc w:val="both"/>
        <w:rPr>
          <w:sz w:val="22"/>
          <w:szCs w:val="22"/>
        </w:rPr>
      </w:pPr>
      <w:r w:rsidRPr="002169D5">
        <w:rPr>
          <w:sz w:val="22"/>
          <w:szCs w:val="22"/>
        </w:rPr>
        <w:t>для вихревых пр</w:t>
      </w:r>
      <w:r w:rsidR="00CC5A82">
        <w:rPr>
          <w:sz w:val="22"/>
          <w:szCs w:val="22"/>
        </w:rPr>
        <w:t>еобразователей ВЭПС - отказы УФС</w:t>
      </w:r>
      <w:r w:rsidRPr="002169D5">
        <w:rPr>
          <w:sz w:val="22"/>
          <w:szCs w:val="22"/>
        </w:rPr>
        <w:t>, протечку гермоввода, отказ магнитной системы, прочие отказы;</w:t>
      </w:r>
    </w:p>
    <w:p w:rsidR="00E84121" w:rsidRPr="002169D5" w:rsidRDefault="00E84121" w:rsidP="008F6F1E">
      <w:pPr>
        <w:pStyle w:val="2"/>
        <w:numPr>
          <w:ilvl w:val="0"/>
          <w:numId w:val="18"/>
        </w:numPr>
        <w:spacing w:after="0" w:line="240" w:lineRule="auto"/>
        <w:jc w:val="both"/>
        <w:rPr>
          <w:sz w:val="22"/>
          <w:szCs w:val="22"/>
        </w:rPr>
      </w:pPr>
      <w:r w:rsidRPr="002169D5">
        <w:rPr>
          <w:sz w:val="22"/>
          <w:szCs w:val="22"/>
        </w:rPr>
        <w:t>для электромагнитных преобразователей расхода ЭМИР-ПРАМЕР-550 -</w:t>
      </w:r>
      <w:r w:rsidR="00CC5A82">
        <w:rPr>
          <w:sz w:val="22"/>
          <w:szCs w:val="22"/>
        </w:rPr>
        <w:t xml:space="preserve"> о</w:t>
      </w:r>
      <w:r w:rsidRPr="002169D5">
        <w:rPr>
          <w:sz w:val="22"/>
          <w:szCs w:val="22"/>
        </w:rPr>
        <w:t>тказ  электронного преобразователя, отказ  электронного компонента, дефект корпуса (протечка по электроду), прочие отказы;</w:t>
      </w:r>
    </w:p>
    <w:p w:rsidR="00E84121" w:rsidRPr="002169D5" w:rsidRDefault="00E84121" w:rsidP="008F6F1E">
      <w:pPr>
        <w:pStyle w:val="2"/>
        <w:numPr>
          <w:ilvl w:val="0"/>
          <w:numId w:val="18"/>
        </w:numPr>
        <w:spacing w:after="0" w:line="240" w:lineRule="auto"/>
        <w:jc w:val="both"/>
        <w:rPr>
          <w:sz w:val="22"/>
          <w:szCs w:val="22"/>
        </w:rPr>
      </w:pPr>
      <w:r w:rsidRPr="002169D5">
        <w:rPr>
          <w:sz w:val="22"/>
          <w:szCs w:val="22"/>
        </w:rPr>
        <w:t>д</w:t>
      </w:r>
      <w:r w:rsidR="0067710C">
        <w:rPr>
          <w:sz w:val="22"/>
          <w:szCs w:val="22"/>
        </w:rPr>
        <w:t>ля термоконтролеров ПРАМЕР-710-</w:t>
      </w:r>
      <w:r w:rsidRPr="002169D5">
        <w:rPr>
          <w:sz w:val="22"/>
          <w:szCs w:val="22"/>
        </w:rPr>
        <w:t xml:space="preserve">1, блоков питания БП-12-12В, блоков автоматических регистрационно-связных БАРС-02-Р </w:t>
      </w:r>
      <w:r w:rsidR="006A0BA8" w:rsidRPr="002169D5">
        <w:rPr>
          <w:sz w:val="22"/>
          <w:szCs w:val="22"/>
        </w:rPr>
        <w:t>-</w:t>
      </w:r>
      <w:r w:rsidRPr="002169D5">
        <w:rPr>
          <w:sz w:val="22"/>
          <w:szCs w:val="22"/>
        </w:rPr>
        <w:t xml:space="preserve"> </w:t>
      </w:r>
      <w:r w:rsidR="006A0BA8" w:rsidRPr="002169D5">
        <w:rPr>
          <w:sz w:val="22"/>
          <w:szCs w:val="22"/>
        </w:rPr>
        <w:t>отказ электронного компонента.</w:t>
      </w:r>
    </w:p>
    <w:p w:rsidR="006A0BA8" w:rsidRPr="002169D5" w:rsidRDefault="006A0BA8" w:rsidP="003029DB">
      <w:pPr>
        <w:pStyle w:val="2"/>
        <w:spacing w:after="0" w:line="240" w:lineRule="auto"/>
        <w:ind w:left="0" w:firstLine="720"/>
        <w:jc w:val="both"/>
        <w:rPr>
          <w:sz w:val="22"/>
          <w:szCs w:val="22"/>
        </w:rPr>
      </w:pPr>
      <w:r w:rsidRPr="002169D5">
        <w:rPr>
          <w:sz w:val="22"/>
          <w:szCs w:val="22"/>
        </w:rPr>
        <w:t>Отказы, произошедшие не по вине производителя, включают отказы, вызванные механическим повреждением, нарушением условий эксплуатации прибора, несанкционированным ремонтом.</w:t>
      </w:r>
    </w:p>
    <w:p w:rsidR="006A0BA8" w:rsidRPr="002169D5" w:rsidRDefault="006A0BA8" w:rsidP="003029DB">
      <w:pPr>
        <w:pStyle w:val="2"/>
        <w:spacing w:after="0" w:line="240" w:lineRule="auto"/>
        <w:ind w:left="0" w:firstLine="709"/>
        <w:jc w:val="both"/>
        <w:rPr>
          <w:sz w:val="22"/>
          <w:szCs w:val="22"/>
        </w:rPr>
      </w:pPr>
      <w:r w:rsidRPr="002169D5">
        <w:rPr>
          <w:sz w:val="22"/>
          <w:szCs w:val="22"/>
        </w:rPr>
        <w:t>Рассмотрим данные о процентном сокращении отказов преобразователей расхода ВЭПС, ЭМИР-ПРАМЕР-550 в 2015 г. по сравнению с 2014 г.(Таблица 1)</w:t>
      </w:r>
    </w:p>
    <w:p w:rsidR="006A0BA8" w:rsidRPr="002169D5" w:rsidRDefault="006A0BA8" w:rsidP="003029DB">
      <w:pPr>
        <w:pStyle w:val="ab"/>
        <w:spacing w:line="240" w:lineRule="auto"/>
        <w:ind w:firstLine="426"/>
        <w:rPr>
          <w:rFonts w:ascii="Times New Roman" w:hAnsi="Times New Roman"/>
        </w:rPr>
      </w:pPr>
      <w:r w:rsidRPr="002169D5">
        <w:rPr>
          <w:rFonts w:ascii="Times New Roman" w:hAnsi="Times New Roman"/>
        </w:rPr>
        <w:t>Следует отметить сокращение процента гарантийных и не гарантийных отказов в 2015 г., произошедших по вине производителя.</w:t>
      </w:r>
    </w:p>
    <w:p w:rsidR="009F7255" w:rsidRPr="002169D5" w:rsidRDefault="009F7255" w:rsidP="009F7255">
      <w:pPr>
        <w:pStyle w:val="ab"/>
        <w:ind w:firstLine="709"/>
        <w:rPr>
          <w:rFonts w:ascii="Times New Roman" w:hAnsi="Times New Roman"/>
          <w:b/>
        </w:rPr>
      </w:pPr>
      <w:r w:rsidRPr="002169D5">
        <w:rPr>
          <w:rFonts w:ascii="Times New Roman" w:hAnsi="Times New Roman"/>
          <w:b/>
        </w:rPr>
        <w:t>Таблице 1. Сравнительный анализ отказов ВЭПС, ЭМИР-ПРАМЕР-550 за 2014-2015 гг.</w:t>
      </w: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8"/>
        <w:gridCol w:w="4819"/>
        <w:gridCol w:w="2126"/>
        <w:gridCol w:w="2092"/>
      </w:tblGrid>
      <w:tr w:rsidR="009F7255" w:rsidRPr="00687C62" w:rsidTr="00687C62">
        <w:tc>
          <w:tcPr>
            <w:tcW w:w="818" w:type="dxa"/>
            <w:vAlign w:val="bottom"/>
          </w:tcPr>
          <w:p w:rsidR="009F7255" w:rsidRPr="00687C62" w:rsidRDefault="009F7255" w:rsidP="00687C62">
            <w:pPr>
              <w:jc w:val="center"/>
              <w:rPr>
                <w:rFonts w:ascii="Times New Roman" w:hAnsi="Times New Roman"/>
                <w:sz w:val="20"/>
                <w:szCs w:val="20"/>
              </w:rPr>
            </w:pPr>
            <w:r w:rsidRPr="00687C62">
              <w:rPr>
                <w:rFonts w:ascii="Times New Roman" w:hAnsi="Times New Roman"/>
                <w:sz w:val="20"/>
                <w:szCs w:val="20"/>
              </w:rPr>
              <w:t>№ п/п</w:t>
            </w:r>
          </w:p>
        </w:tc>
        <w:tc>
          <w:tcPr>
            <w:tcW w:w="4819" w:type="dxa"/>
            <w:vAlign w:val="bottom"/>
          </w:tcPr>
          <w:p w:rsidR="009F7255" w:rsidRPr="00687C62" w:rsidRDefault="009F7255" w:rsidP="00687C62">
            <w:pPr>
              <w:jc w:val="center"/>
              <w:rPr>
                <w:rFonts w:ascii="Times New Roman" w:hAnsi="Times New Roman"/>
                <w:sz w:val="20"/>
                <w:szCs w:val="20"/>
              </w:rPr>
            </w:pPr>
            <w:r w:rsidRPr="00687C62">
              <w:rPr>
                <w:rFonts w:ascii="Times New Roman" w:hAnsi="Times New Roman"/>
                <w:sz w:val="20"/>
                <w:szCs w:val="20"/>
              </w:rPr>
              <w:t>Вид отказа</w:t>
            </w:r>
          </w:p>
        </w:tc>
        <w:tc>
          <w:tcPr>
            <w:tcW w:w="2126" w:type="dxa"/>
            <w:vAlign w:val="bottom"/>
          </w:tcPr>
          <w:p w:rsidR="009F7255" w:rsidRPr="00687C62" w:rsidRDefault="009F7255" w:rsidP="00687C62">
            <w:pPr>
              <w:jc w:val="center"/>
              <w:rPr>
                <w:rFonts w:ascii="Times New Roman" w:hAnsi="Times New Roman"/>
                <w:sz w:val="20"/>
                <w:szCs w:val="20"/>
              </w:rPr>
            </w:pPr>
            <w:r w:rsidRPr="00687C62">
              <w:rPr>
                <w:rFonts w:ascii="Times New Roman" w:hAnsi="Times New Roman"/>
                <w:sz w:val="20"/>
                <w:szCs w:val="20"/>
              </w:rPr>
              <w:t>Вид ремонта</w:t>
            </w:r>
          </w:p>
        </w:tc>
        <w:tc>
          <w:tcPr>
            <w:tcW w:w="2092" w:type="dxa"/>
            <w:vAlign w:val="center"/>
          </w:tcPr>
          <w:p w:rsidR="009F7255" w:rsidRPr="00687C62" w:rsidRDefault="009F7255" w:rsidP="00687C62">
            <w:pPr>
              <w:jc w:val="center"/>
              <w:rPr>
                <w:rFonts w:ascii="Times New Roman" w:hAnsi="Times New Roman"/>
                <w:sz w:val="20"/>
                <w:szCs w:val="20"/>
              </w:rPr>
            </w:pPr>
            <w:r w:rsidRPr="00687C62">
              <w:rPr>
                <w:rFonts w:ascii="Times New Roman" w:hAnsi="Times New Roman"/>
                <w:sz w:val="20"/>
                <w:szCs w:val="20"/>
              </w:rPr>
              <w:t>±▲, % , 2015 г.</w:t>
            </w:r>
          </w:p>
        </w:tc>
      </w:tr>
      <w:tr w:rsidR="004E3377" w:rsidRPr="00687C62" w:rsidTr="00687C62">
        <w:trPr>
          <w:trHeight w:val="307"/>
        </w:trPr>
        <w:tc>
          <w:tcPr>
            <w:tcW w:w="818" w:type="dxa"/>
            <w:vMerge w:val="restart"/>
            <w:vAlign w:val="center"/>
          </w:tcPr>
          <w:p w:rsidR="004E3377" w:rsidRPr="00687C62" w:rsidRDefault="004E3377" w:rsidP="00687C62">
            <w:pPr>
              <w:jc w:val="center"/>
              <w:rPr>
                <w:rFonts w:ascii="Times New Roman" w:hAnsi="Times New Roman"/>
                <w:sz w:val="20"/>
                <w:szCs w:val="20"/>
              </w:rPr>
            </w:pPr>
            <w:r w:rsidRPr="00687C62">
              <w:rPr>
                <w:rFonts w:ascii="Times New Roman" w:hAnsi="Times New Roman"/>
                <w:sz w:val="20"/>
                <w:szCs w:val="20"/>
              </w:rPr>
              <w:t>1</w:t>
            </w:r>
          </w:p>
        </w:tc>
        <w:tc>
          <w:tcPr>
            <w:tcW w:w="4819" w:type="dxa"/>
            <w:vMerge w:val="restart"/>
            <w:vAlign w:val="center"/>
          </w:tcPr>
          <w:p w:rsidR="004E3377" w:rsidRPr="00687C62" w:rsidRDefault="004E3377" w:rsidP="00687C62">
            <w:pPr>
              <w:jc w:val="center"/>
              <w:rPr>
                <w:rFonts w:ascii="Times New Roman" w:hAnsi="Times New Roman"/>
                <w:sz w:val="20"/>
                <w:szCs w:val="20"/>
              </w:rPr>
            </w:pPr>
            <w:r w:rsidRPr="00687C62">
              <w:rPr>
                <w:rFonts w:ascii="Times New Roman" w:hAnsi="Times New Roman"/>
                <w:sz w:val="20"/>
                <w:szCs w:val="20"/>
              </w:rPr>
              <w:t>Отказ ВЭПС всех модификаций (в т.ч. от</w:t>
            </w:r>
            <w:r w:rsidR="001E7A3B" w:rsidRPr="00687C62">
              <w:rPr>
                <w:rFonts w:ascii="Times New Roman" w:hAnsi="Times New Roman"/>
                <w:sz w:val="20"/>
                <w:szCs w:val="20"/>
              </w:rPr>
              <w:t>казы УФС</w:t>
            </w:r>
            <w:r w:rsidRPr="00687C62">
              <w:rPr>
                <w:rFonts w:ascii="Times New Roman" w:hAnsi="Times New Roman"/>
                <w:sz w:val="20"/>
                <w:szCs w:val="20"/>
              </w:rPr>
              <w:t>), произошедший по вине производителя</w:t>
            </w:r>
          </w:p>
        </w:tc>
        <w:tc>
          <w:tcPr>
            <w:tcW w:w="2126" w:type="dxa"/>
          </w:tcPr>
          <w:p w:rsidR="004E3377" w:rsidRPr="00687C62" w:rsidRDefault="004E3377" w:rsidP="00687C62">
            <w:pPr>
              <w:pStyle w:val="ab"/>
              <w:ind w:left="0"/>
              <w:jc w:val="center"/>
              <w:rPr>
                <w:rFonts w:ascii="Times New Roman" w:hAnsi="Times New Roman"/>
                <w:sz w:val="20"/>
                <w:szCs w:val="20"/>
              </w:rPr>
            </w:pPr>
            <w:r w:rsidRPr="00687C62">
              <w:rPr>
                <w:rFonts w:ascii="Times New Roman" w:hAnsi="Times New Roman"/>
                <w:sz w:val="20"/>
                <w:szCs w:val="20"/>
              </w:rPr>
              <w:t>Гарантийный</w:t>
            </w:r>
          </w:p>
        </w:tc>
        <w:tc>
          <w:tcPr>
            <w:tcW w:w="2092" w:type="dxa"/>
          </w:tcPr>
          <w:p w:rsidR="004E3377" w:rsidRPr="00687C62" w:rsidRDefault="00FD5485" w:rsidP="00687C62">
            <w:pPr>
              <w:pStyle w:val="ab"/>
              <w:ind w:left="0"/>
              <w:jc w:val="center"/>
              <w:rPr>
                <w:rFonts w:ascii="Times New Roman" w:hAnsi="Times New Roman"/>
                <w:sz w:val="20"/>
                <w:szCs w:val="20"/>
              </w:rPr>
            </w:pPr>
            <w:r w:rsidRPr="00687C62">
              <w:rPr>
                <w:rFonts w:ascii="Times New Roman" w:hAnsi="Times New Roman"/>
                <w:sz w:val="20"/>
                <w:szCs w:val="20"/>
              </w:rPr>
              <w:t>-18,2</w:t>
            </w:r>
          </w:p>
        </w:tc>
      </w:tr>
      <w:tr w:rsidR="004E3377" w:rsidRPr="00687C62" w:rsidTr="00687C62">
        <w:trPr>
          <w:trHeight w:val="200"/>
        </w:trPr>
        <w:tc>
          <w:tcPr>
            <w:tcW w:w="818" w:type="dxa"/>
            <w:vMerge/>
            <w:vAlign w:val="center"/>
          </w:tcPr>
          <w:p w:rsidR="004E3377" w:rsidRPr="00687C62" w:rsidRDefault="004E3377" w:rsidP="00687C62">
            <w:pPr>
              <w:jc w:val="center"/>
              <w:rPr>
                <w:rFonts w:ascii="Times New Roman" w:hAnsi="Times New Roman"/>
                <w:sz w:val="20"/>
                <w:szCs w:val="20"/>
              </w:rPr>
            </w:pPr>
          </w:p>
        </w:tc>
        <w:tc>
          <w:tcPr>
            <w:tcW w:w="4819" w:type="dxa"/>
            <w:vMerge/>
            <w:vAlign w:val="center"/>
          </w:tcPr>
          <w:p w:rsidR="004E3377" w:rsidRPr="00687C62" w:rsidRDefault="004E3377" w:rsidP="00687C62">
            <w:pPr>
              <w:jc w:val="center"/>
              <w:rPr>
                <w:rFonts w:ascii="Times New Roman" w:hAnsi="Times New Roman"/>
                <w:sz w:val="20"/>
                <w:szCs w:val="20"/>
              </w:rPr>
            </w:pPr>
          </w:p>
        </w:tc>
        <w:tc>
          <w:tcPr>
            <w:tcW w:w="2126" w:type="dxa"/>
          </w:tcPr>
          <w:p w:rsidR="004E3377" w:rsidRPr="00687C62" w:rsidRDefault="004E3377" w:rsidP="00687C62">
            <w:pPr>
              <w:pStyle w:val="ab"/>
              <w:ind w:left="0"/>
              <w:jc w:val="center"/>
              <w:rPr>
                <w:rFonts w:ascii="Times New Roman" w:hAnsi="Times New Roman"/>
                <w:sz w:val="20"/>
                <w:szCs w:val="20"/>
              </w:rPr>
            </w:pPr>
            <w:r w:rsidRPr="00687C62">
              <w:rPr>
                <w:rFonts w:ascii="Times New Roman" w:hAnsi="Times New Roman"/>
                <w:sz w:val="20"/>
                <w:szCs w:val="20"/>
              </w:rPr>
              <w:t>Не гарантийный</w:t>
            </w:r>
          </w:p>
        </w:tc>
        <w:tc>
          <w:tcPr>
            <w:tcW w:w="2092" w:type="dxa"/>
          </w:tcPr>
          <w:p w:rsidR="004E3377" w:rsidRPr="00687C62" w:rsidRDefault="00FD5485" w:rsidP="00687C62">
            <w:pPr>
              <w:pStyle w:val="ab"/>
              <w:ind w:left="0"/>
              <w:jc w:val="center"/>
              <w:rPr>
                <w:rFonts w:ascii="Times New Roman" w:hAnsi="Times New Roman"/>
                <w:sz w:val="20"/>
                <w:szCs w:val="20"/>
              </w:rPr>
            </w:pPr>
            <w:r w:rsidRPr="00687C62">
              <w:rPr>
                <w:rFonts w:ascii="Times New Roman" w:hAnsi="Times New Roman"/>
                <w:sz w:val="20"/>
                <w:szCs w:val="20"/>
              </w:rPr>
              <w:t>- 5,0</w:t>
            </w:r>
          </w:p>
        </w:tc>
      </w:tr>
      <w:tr w:rsidR="009F7255" w:rsidRPr="00687C62" w:rsidTr="00687C62">
        <w:trPr>
          <w:trHeight w:val="503"/>
        </w:trPr>
        <w:tc>
          <w:tcPr>
            <w:tcW w:w="818" w:type="dxa"/>
            <w:vAlign w:val="center"/>
          </w:tcPr>
          <w:p w:rsidR="009F7255" w:rsidRPr="00687C62" w:rsidRDefault="009F7255" w:rsidP="00687C62">
            <w:pPr>
              <w:jc w:val="center"/>
              <w:rPr>
                <w:rFonts w:ascii="Times New Roman" w:hAnsi="Times New Roman"/>
                <w:sz w:val="20"/>
                <w:szCs w:val="20"/>
              </w:rPr>
            </w:pPr>
            <w:r w:rsidRPr="00687C62">
              <w:rPr>
                <w:rFonts w:ascii="Times New Roman" w:hAnsi="Times New Roman"/>
                <w:sz w:val="20"/>
                <w:szCs w:val="20"/>
              </w:rPr>
              <w:t>2</w:t>
            </w:r>
          </w:p>
        </w:tc>
        <w:tc>
          <w:tcPr>
            <w:tcW w:w="4819" w:type="dxa"/>
            <w:vAlign w:val="center"/>
          </w:tcPr>
          <w:p w:rsidR="009F7255" w:rsidRPr="00687C62" w:rsidRDefault="009F7255" w:rsidP="00687C62">
            <w:pPr>
              <w:jc w:val="center"/>
              <w:rPr>
                <w:rFonts w:ascii="Times New Roman" w:hAnsi="Times New Roman"/>
                <w:sz w:val="20"/>
                <w:szCs w:val="20"/>
              </w:rPr>
            </w:pPr>
            <w:r w:rsidRPr="00687C62">
              <w:rPr>
                <w:rFonts w:ascii="Times New Roman" w:hAnsi="Times New Roman"/>
                <w:sz w:val="20"/>
                <w:szCs w:val="20"/>
              </w:rPr>
              <w:t>Отказ ВЭПС все</w:t>
            </w:r>
            <w:r w:rsidR="001E7A3B" w:rsidRPr="00687C62">
              <w:rPr>
                <w:rFonts w:ascii="Times New Roman" w:hAnsi="Times New Roman"/>
                <w:sz w:val="20"/>
                <w:szCs w:val="20"/>
              </w:rPr>
              <w:t>х модификаций (в т.ч. отказы УФС</w:t>
            </w:r>
            <w:r w:rsidRPr="00687C62">
              <w:rPr>
                <w:rFonts w:ascii="Times New Roman" w:hAnsi="Times New Roman"/>
                <w:sz w:val="20"/>
                <w:szCs w:val="20"/>
              </w:rPr>
              <w:t>), произошедший не по вине производителя</w:t>
            </w:r>
          </w:p>
        </w:tc>
        <w:tc>
          <w:tcPr>
            <w:tcW w:w="2126" w:type="dxa"/>
          </w:tcPr>
          <w:p w:rsidR="009F7255" w:rsidRPr="00687C62" w:rsidRDefault="004E3377" w:rsidP="00687C62">
            <w:pPr>
              <w:pStyle w:val="ab"/>
              <w:ind w:left="0"/>
              <w:jc w:val="center"/>
              <w:rPr>
                <w:rFonts w:ascii="Times New Roman" w:hAnsi="Times New Roman"/>
                <w:sz w:val="20"/>
                <w:szCs w:val="20"/>
              </w:rPr>
            </w:pPr>
            <w:r w:rsidRPr="00687C62">
              <w:rPr>
                <w:rFonts w:ascii="Times New Roman" w:hAnsi="Times New Roman"/>
                <w:sz w:val="20"/>
                <w:szCs w:val="20"/>
              </w:rPr>
              <w:t>Не гарантийный</w:t>
            </w:r>
          </w:p>
        </w:tc>
        <w:tc>
          <w:tcPr>
            <w:tcW w:w="2092" w:type="dxa"/>
          </w:tcPr>
          <w:p w:rsidR="009F7255" w:rsidRPr="00687C62" w:rsidRDefault="00FD5485" w:rsidP="00687C62">
            <w:pPr>
              <w:pStyle w:val="ab"/>
              <w:ind w:left="0"/>
              <w:jc w:val="center"/>
              <w:rPr>
                <w:rFonts w:ascii="Times New Roman" w:hAnsi="Times New Roman"/>
                <w:sz w:val="20"/>
                <w:szCs w:val="20"/>
              </w:rPr>
            </w:pPr>
            <w:r w:rsidRPr="00687C62">
              <w:rPr>
                <w:rFonts w:ascii="Times New Roman" w:hAnsi="Times New Roman"/>
                <w:sz w:val="20"/>
                <w:szCs w:val="20"/>
              </w:rPr>
              <w:t>22,9</w:t>
            </w:r>
          </w:p>
        </w:tc>
      </w:tr>
      <w:tr w:rsidR="004E3377" w:rsidRPr="00687C62" w:rsidTr="00687C62">
        <w:trPr>
          <w:trHeight w:val="280"/>
        </w:trPr>
        <w:tc>
          <w:tcPr>
            <w:tcW w:w="818" w:type="dxa"/>
            <w:vMerge w:val="restart"/>
            <w:vAlign w:val="center"/>
          </w:tcPr>
          <w:p w:rsidR="004E3377" w:rsidRPr="00687C62" w:rsidRDefault="004E3377" w:rsidP="00687C62">
            <w:pPr>
              <w:jc w:val="center"/>
              <w:rPr>
                <w:rFonts w:ascii="Times New Roman" w:hAnsi="Times New Roman"/>
                <w:sz w:val="20"/>
                <w:szCs w:val="20"/>
              </w:rPr>
            </w:pPr>
            <w:r w:rsidRPr="00687C62">
              <w:rPr>
                <w:rFonts w:ascii="Times New Roman" w:hAnsi="Times New Roman"/>
                <w:sz w:val="20"/>
                <w:szCs w:val="20"/>
              </w:rPr>
              <w:t>3</w:t>
            </w:r>
          </w:p>
        </w:tc>
        <w:tc>
          <w:tcPr>
            <w:tcW w:w="4819" w:type="dxa"/>
            <w:vMerge w:val="restart"/>
            <w:vAlign w:val="center"/>
          </w:tcPr>
          <w:p w:rsidR="004E3377" w:rsidRPr="00687C62" w:rsidRDefault="004E3377" w:rsidP="00687C62">
            <w:pPr>
              <w:jc w:val="center"/>
              <w:rPr>
                <w:rFonts w:ascii="Times New Roman" w:hAnsi="Times New Roman"/>
                <w:sz w:val="20"/>
                <w:szCs w:val="20"/>
              </w:rPr>
            </w:pPr>
            <w:r w:rsidRPr="00687C62">
              <w:rPr>
                <w:rFonts w:ascii="Times New Roman" w:hAnsi="Times New Roman"/>
                <w:sz w:val="20"/>
                <w:szCs w:val="20"/>
              </w:rPr>
              <w:t>Отказ ЭМИР-ПРАМЕР-550, произошедший по вине производителя</w:t>
            </w:r>
          </w:p>
        </w:tc>
        <w:tc>
          <w:tcPr>
            <w:tcW w:w="2126" w:type="dxa"/>
          </w:tcPr>
          <w:p w:rsidR="004E3377" w:rsidRPr="00687C62" w:rsidRDefault="004E3377" w:rsidP="00687C62">
            <w:pPr>
              <w:pStyle w:val="ab"/>
              <w:ind w:left="0"/>
              <w:jc w:val="center"/>
              <w:rPr>
                <w:rFonts w:ascii="Times New Roman" w:hAnsi="Times New Roman"/>
                <w:sz w:val="20"/>
                <w:szCs w:val="20"/>
              </w:rPr>
            </w:pPr>
            <w:r w:rsidRPr="00687C62">
              <w:rPr>
                <w:rFonts w:ascii="Times New Roman" w:hAnsi="Times New Roman"/>
                <w:sz w:val="20"/>
                <w:szCs w:val="20"/>
              </w:rPr>
              <w:t>Гарантийный</w:t>
            </w:r>
          </w:p>
        </w:tc>
        <w:tc>
          <w:tcPr>
            <w:tcW w:w="2092" w:type="dxa"/>
          </w:tcPr>
          <w:p w:rsidR="004E3377" w:rsidRPr="00687C62" w:rsidRDefault="00FD5485" w:rsidP="00687C62">
            <w:pPr>
              <w:pStyle w:val="ab"/>
              <w:ind w:left="0"/>
              <w:jc w:val="center"/>
              <w:rPr>
                <w:rFonts w:ascii="Times New Roman" w:hAnsi="Times New Roman"/>
                <w:sz w:val="20"/>
                <w:szCs w:val="20"/>
              </w:rPr>
            </w:pPr>
            <w:r w:rsidRPr="00687C62">
              <w:rPr>
                <w:rFonts w:ascii="Times New Roman" w:hAnsi="Times New Roman"/>
                <w:sz w:val="20"/>
                <w:szCs w:val="20"/>
              </w:rPr>
              <w:t>- 2,5</w:t>
            </w:r>
          </w:p>
        </w:tc>
      </w:tr>
      <w:tr w:rsidR="004E3377" w:rsidRPr="00687C62" w:rsidTr="00687C62">
        <w:trPr>
          <w:trHeight w:val="279"/>
        </w:trPr>
        <w:tc>
          <w:tcPr>
            <w:tcW w:w="818" w:type="dxa"/>
            <w:vMerge/>
            <w:vAlign w:val="center"/>
          </w:tcPr>
          <w:p w:rsidR="004E3377" w:rsidRPr="00687C62" w:rsidRDefault="004E3377" w:rsidP="00687C62">
            <w:pPr>
              <w:jc w:val="center"/>
              <w:rPr>
                <w:rFonts w:ascii="Times New Roman" w:hAnsi="Times New Roman"/>
                <w:sz w:val="20"/>
                <w:szCs w:val="20"/>
              </w:rPr>
            </w:pPr>
          </w:p>
        </w:tc>
        <w:tc>
          <w:tcPr>
            <w:tcW w:w="4819" w:type="dxa"/>
            <w:vMerge/>
            <w:vAlign w:val="center"/>
          </w:tcPr>
          <w:p w:rsidR="004E3377" w:rsidRPr="00687C62" w:rsidRDefault="004E3377" w:rsidP="00687C62">
            <w:pPr>
              <w:jc w:val="center"/>
              <w:rPr>
                <w:rFonts w:ascii="Times New Roman" w:hAnsi="Times New Roman"/>
                <w:sz w:val="20"/>
                <w:szCs w:val="20"/>
              </w:rPr>
            </w:pPr>
          </w:p>
        </w:tc>
        <w:tc>
          <w:tcPr>
            <w:tcW w:w="2126" w:type="dxa"/>
          </w:tcPr>
          <w:p w:rsidR="004E3377" w:rsidRPr="00687C62" w:rsidRDefault="004E3377" w:rsidP="00687C62">
            <w:pPr>
              <w:pStyle w:val="ab"/>
              <w:ind w:left="0"/>
              <w:jc w:val="center"/>
              <w:rPr>
                <w:rFonts w:ascii="Times New Roman" w:hAnsi="Times New Roman"/>
                <w:sz w:val="20"/>
                <w:szCs w:val="20"/>
              </w:rPr>
            </w:pPr>
            <w:r w:rsidRPr="00687C62">
              <w:rPr>
                <w:rFonts w:ascii="Times New Roman" w:hAnsi="Times New Roman"/>
                <w:sz w:val="20"/>
                <w:szCs w:val="20"/>
              </w:rPr>
              <w:t>Не гарантийный</w:t>
            </w:r>
          </w:p>
        </w:tc>
        <w:tc>
          <w:tcPr>
            <w:tcW w:w="2092" w:type="dxa"/>
          </w:tcPr>
          <w:p w:rsidR="004E3377" w:rsidRPr="00687C62" w:rsidRDefault="00FD5485" w:rsidP="00687C62">
            <w:pPr>
              <w:pStyle w:val="ab"/>
              <w:ind w:left="0"/>
              <w:jc w:val="center"/>
              <w:rPr>
                <w:rFonts w:ascii="Times New Roman" w:hAnsi="Times New Roman"/>
                <w:sz w:val="20"/>
                <w:szCs w:val="20"/>
              </w:rPr>
            </w:pPr>
            <w:r w:rsidRPr="00687C62">
              <w:rPr>
                <w:rFonts w:ascii="Times New Roman" w:hAnsi="Times New Roman"/>
                <w:sz w:val="20"/>
                <w:szCs w:val="20"/>
              </w:rPr>
              <w:t>- 63,5</w:t>
            </w:r>
          </w:p>
        </w:tc>
      </w:tr>
      <w:tr w:rsidR="009F7255" w:rsidRPr="00687C62" w:rsidTr="00687C62">
        <w:trPr>
          <w:trHeight w:val="539"/>
        </w:trPr>
        <w:tc>
          <w:tcPr>
            <w:tcW w:w="818" w:type="dxa"/>
            <w:vAlign w:val="center"/>
          </w:tcPr>
          <w:p w:rsidR="009F7255" w:rsidRPr="00687C62" w:rsidRDefault="009F7255" w:rsidP="00687C62">
            <w:pPr>
              <w:jc w:val="center"/>
              <w:rPr>
                <w:rFonts w:ascii="Times New Roman" w:hAnsi="Times New Roman"/>
                <w:sz w:val="20"/>
                <w:szCs w:val="20"/>
              </w:rPr>
            </w:pPr>
            <w:r w:rsidRPr="00687C62">
              <w:rPr>
                <w:rFonts w:ascii="Times New Roman" w:hAnsi="Times New Roman"/>
                <w:sz w:val="20"/>
                <w:szCs w:val="20"/>
              </w:rPr>
              <w:lastRenderedPageBreak/>
              <w:t>4</w:t>
            </w:r>
          </w:p>
        </w:tc>
        <w:tc>
          <w:tcPr>
            <w:tcW w:w="4819" w:type="dxa"/>
            <w:vAlign w:val="center"/>
          </w:tcPr>
          <w:p w:rsidR="009F7255" w:rsidRPr="00687C62" w:rsidRDefault="009F7255" w:rsidP="00687C62">
            <w:pPr>
              <w:jc w:val="center"/>
              <w:rPr>
                <w:rFonts w:ascii="Times New Roman" w:hAnsi="Times New Roman"/>
                <w:sz w:val="20"/>
                <w:szCs w:val="20"/>
              </w:rPr>
            </w:pPr>
            <w:r w:rsidRPr="00687C62">
              <w:rPr>
                <w:rFonts w:ascii="Times New Roman" w:hAnsi="Times New Roman"/>
                <w:sz w:val="20"/>
                <w:szCs w:val="20"/>
              </w:rPr>
              <w:t>Отказ ЭМИР-ПРАМЕР-550, произошедший не по вине производителя</w:t>
            </w:r>
          </w:p>
        </w:tc>
        <w:tc>
          <w:tcPr>
            <w:tcW w:w="2126" w:type="dxa"/>
          </w:tcPr>
          <w:p w:rsidR="009F7255" w:rsidRPr="00687C62" w:rsidRDefault="004E3377" w:rsidP="00687C62">
            <w:pPr>
              <w:pStyle w:val="ab"/>
              <w:ind w:left="0"/>
              <w:jc w:val="center"/>
              <w:rPr>
                <w:rFonts w:ascii="Times New Roman" w:hAnsi="Times New Roman"/>
                <w:sz w:val="20"/>
                <w:szCs w:val="20"/>
              </w:rPr>
            </w:pPr>
            <w:r w:rsidRPr="00687C62">
              <w:rPr>
                <w:rFonts w:ascii="Times New Roman" w:hAnsi="Times New Roman"/>
                <w:sz w:val="20"/>
                <w:szCs w:val="20"/>
              </w:rPr>
              <w:t>Не гарантийный</w:t>
            </w:r>
          </w:p>
        </w:tc>
        <w:tc>
          <w:tcPr>
            <w:tcW w:w="2092" w:type="dxa"/>
          </w:tcPr>
          <w:p w:rsidR="009F7255" w:rsidRPr="00687C62" w:rsidRDefault="00FD5485" w:rsidP="00687C62">
            <w:pPr>
              <w:pStyle w:val="ab"/>
              <w:ind w:left="0"/>
              <w:jc w:val="center"/>
              <w:rPr>
                <w:rFonts w:ascii="Times New Roman" w:hAnsi="Times New Roman"/>
                <w:sz w:val="20"/>
                <w:szCs w:val="20"/>
              </w:rPr>
            </w:pPr>
            <w:r w:rsidRPr="00687C62">
              <w:rPr>
                <w:rFonts w:ascii="Times New Roman" w:hAnsi="Times New Roman"/>
                <w:sz w:val="20"/>
                <w:szCs w:val="20"/>
              </w:rPr>
              <w:t>- 33,1</w:t>
            </w:r>
          </w:p>
        </w:tc>
      </w:tr>
      <w:tr w:rsidR="004E3377" w:rsidRPr="00687C62" w:rsidTr="00687C62">
        <w:trPr>
          <w:trHeight w:val="178"/>
        </w:trPr>
        <w:tc>
          <w:tcPr>
            <w:tcW w:w="818" w:type="dxa"/>
            <w:vMerge w:val="restart"/>
            <w:vAlign w:val="center"/>
          </w:tcPr>
          <w:p w:rsidR="004E3377" w:rsidRPr="00687C62" w:rsidRDefault="004E3377" w:rsidP="00687C62">
            <w:pPr>
              <w:jc w:val="center"/>
              <w:rPr>
                <w:rFonts w:ascii="Times New Roman" w:hAnsi="Times New Roman"/>
                <w:sz w:val="20"/>
                <w:szCs w:val="20"/>
              </w:rPr>
            </w:pPr>
            <w:r w:rsidRPr="00687C62">
              <w:rPr>
                <w:rFonts w:ascii="Times New Roman" w:hAnsi="Times New Roman"/>
                <w:sz w:val="20"/>
                <w:szCs w:val="20"/>
              </w:rPr>
              <w:t>5</w:t>
            </w:r>
          </w:p>
        </w:tc>
        <w:tc>
          <w:tcPr>
            <w:tcW w:w="4819" w:type="dxa"/>
            <w:vMerge w:val="restart"/>
            <w:vAlign w:val="center"/>
          </w:tcPr>
          <w:p w:rsidR="004E3377" w:rsidRPr="00687C62" w:rsidRDefault="004E3377" w:rsidP="00687C62">
            <w:pPr>
              <w:jc w:val="center"/>
              <w:rPr>
                <w:rFonts w:ascii="Times New Roman" w:hAnsi="Times New Roman"/>
                <w:sz w:val="20"/>
                <w:szCs w:val="20"/>
              </w:rPr>
            </w:pPr>
            <w:r w:rsidRPr="00687C62">
              <w:rPr>
                <w:rFonts w:ascii="Times New Roman" w:hAnsi="Times New Roman"/>
                <w:sz w:val="20"/>
                <w:szCs w:val="20"/>
              </w:rPr>
              <w:t>Всего отказов:</w:t>
            </w:r>
          </w:p>
        </w:tc>
        <w:tc>
          <w:tcPr>
            <w:tcW w:w="2126" w:type="dxa"/>
          </w:tcPr>
          <w:p w:rsidR="004E3377" w:rsidRPr="00687C62" w:rsidRDefault="004E3377" w:rsidP="00687C62">
            <w:pPr>
              <w:pStyle w:val="ab"/>
              <w:ind w:left="0"/>
              <w:jc w:val="center"/>
              <w:rPr>
                <w:rFonts w:ascii="Times New Roman" w:hAnsi="Times New Roman"/>
                <w:sz w:val="20"/>
                <w:szCs w:val="20"/>
              </w:rPr>
            </w:pPr>
            <w:r w:rsidRPr="00687C62">
              <w:rPr>
                <w:rFonts w:ascii="Times New Roman" w:hAnsi="Times New Roman"/>
                <w:sz w:val="20"/>
                <w:szCs w:val="20"/>
              </w:rPr>
              <w:t>Гарантийный</w:t>
            </w:r>
          </w:p>
        </w:tc>
        <w:tc>
          <w:tcPr>
            <w:tcW w:w="2092" w:type="dxa"/>
          </w:tcPr>
          <w:p w:rsidR="004E3377" w:rsidRPr="00687C62" w:rsidRDefault="00E47B55" w:rsidP="00687C62">
            <w:pPr>
              <w:pStyle w:val="ab"/>
              <w:ind w:left="0"/>
              <w:jc w:val="center"/>
              <w:rPr>
                <w:rFonts w:ascii="Times New Roman" w:hAnsi="Times New Roman"/>
                <w:sz w:val="20"/>
                <w:szCs w:val="20"/>
              </w:rPr>
            </w:pPr>
            <w:r w:rsidRPr="00687C62">
              <w:rPr>
                <w:rFonts w:ascii="Times New Roman" w:hAnsi="Times New Roman"/>
                <w:sz w:val="20"/>
                <w:szCs w:val="20"/>
              </w:rPr>
              <w:t>- 20,7</w:t>
            </w:r>
          </w:p>
        </w:tc>
      </w:tr>
      <w:tr w:rsidR="004E3377" w:rsidRPr="00687C62" w:rsidTr="00687C62">
        <w:trPr>
          <w:trHeight w:val="129"/>
        </w:trPr>
        <w:tc>
          <w:tcPr>
            <w:tcW w:w="818" w:type="dxa"/>
            <w:vMerge/>
            <w:vAlign w:val="center"/>
          </w:tcPr>
          <w:p w:rsidR="004E3377" w:rsidRPr="00687C62" w:rsidRDefault="004E3377" w:rsidP="00687C62">
            <w:pPr>
              <w:jc w:val="center"/>
              <w:rPr>
                <w:rFonts w:ascii="Times New Roman" w:hAnsi="Times New Roman"/>
                <w:sz w:val="20"/>
                <w:szCs w:val="20"/>
              </w:rPr>
            </w:pPr>
          </w:p>
        </w:tc>
        <w:tc>
          <w:tcPr>
            <w:tcW w:w="4819" w:type="dxa"/>
            <w:vMerge/>
            <w:vAlign w:val="center"/>
          </w:tcPr>
          <w:p w:rsidR="004E3377" w:rsidRPr="00687C62" w:rsidRDefault="004E3377" w:rsidP="00687C62">
            <w:pPr>
              <w:jc w:val="center"/>
              <w:rPr>
                <w:rFonts w:ascii="Times New Roman" w:hAnsi="Times New Roman"/>
                <w:sz w:val="20"/>
                <w:szCs w:val="20"/>
              </w:rPr>
            </w:pPr>
          </w:p>
        </w:tc>
        <w:tc>
          <w:tcPr>
            <w:tcW w:w="2126" w:type="dxa"/>
          </w:tcPr>
          <w:p w:rsidR="004E3377" w:rsidRPr="00687C62" w:rsidRDefault="004E3377" w:rsidP="00687C62">
            <w:pPr>
              <w:pStyle w:val="ab"/>
              <w:ind w:left="0"/>
              <w:jc w:val="center"/>
              <w:rPr>
                <w:rFonts w:ascii="Times New Roman" w:hAnsi="Times New Roman"/>
                <w:sz w:val="20"/>
                <w:szCs w:val="20"/>
              </w:rPr>
            </w:pPr>
            <w:r w:rsidRPr="00687C62">
              <w:rPr>
                <w:rFonts w:ascii="Times New Roman" w:hAnsi="Times New Roman"/>
                <w:sz w:val="20"/>
                <w:szCs w:val="20"/>
              </w:rPr>
              <w:t>Не гарантийный</w:t>
            </w:r>
          </w:p>
        </w:tc>
        <w:tc>
          <w:tcPr>
            <w:tcW w:w="2092" w:type="dxa"/>
          </w:tcPr>
          <w:p w:rsidR="004E3377" w:rsidRPr="00687C62" w:rsidRDefault="00E47B55" w:rsidP="00687C62">
            <w:pPr>
              <w:pStyle w:val="ab"/>
              <w:ind w:left="0"/>
              <w:jc w:val="center"/>
              <w:rPr>
                <w:rFonts w:ascii="Times New Roman" w:hAnsi="Times New Roman"/>
                <w:sz w:val="20"/>
                <w:szCs w:val="20"/>
              </w:rPr>
            </w:pPr>
            <w:r w:rsidRPr="00687C62">
              <w:rPr>
                <w:rFonts w:ascii="Times New Roman" w:hAnsi="Times New Roman"/>
                <w:sz w:val="20"/>
                <w:szCs w:val="20"/>
              </w:rPr>
              <w:t>- 78,7</w:t>
            </w:r>
          </w:p>
        </w:tc>
      </w:tr>
    </w:tbl>
    <w:p w:rsidR="006A0BA8" w:rsidRDefault="006A0BA8" w:rsidP="006A0BA8">
      <w:pPr>
        <w:pStyle w:val="2"/>
        <w:spacing w:after="0" w:line="240" w:lineRule="auto"/>
        <w:ind w:left="0" w:firstLine="720"/>
        <w:jc w:val="both"/>
      </w:pPr>
    </w:p>
    <w:p w:rsidR="001E7A3B" w:rsidRDefault="001E7A3B" w:rsidP="008F6F1E">
      <w:pPr>
        <w:pStyle w:val="ab"/>
        <w:spacing w:after="0" w:line="240" w:lineRule="auto"/>
        <w:ind w:left="0" w:firstLine="709"/>
        <w:jc w:val="both"/>
        <w:rPr>
          <w:rFonts w:ascii="Times New Roman" w:hAnsi="Times New Roman"/>
          <w:sz w:val="24"/>
        </w:rPr>
      </w:pPr>
      <w:r w:rsidRPr="001E7A3B">
        <w:rPr>
          <w:rFonts w:ascii="Times New Roman" w:hAnsi="Times New Roman"/>
          <w:sz w:val="24"/>
        </w:rPr>
        <w:t>Увеличилось количество не гарантийных отказов ВЭПС, связанных с механическим повреждением прибора и нарушением условий его эксплуатации (проведение сварочных работ на трубопроводе; ошибки подключения; следы коррозии (затопление прибора); гидроудары в системе;</w:t>
      </w:r>
      <w:r>
        <w:rPr>
          <w:rFonts w:ascii="Times New Roman" w:hAnsi="Times New Roman"/>
          <w:sz w:val="24"/>
        </w:rPr>
        <w:t xml:space="preserve"> </w:t>
      </w:r>
      <w:r w:rsidRPr="001E7A3B">
        <w:rPr>
          <w:rFonts w:ascii="Times New Roman" w:hAnsi="Times New Roman"/>
          <w:sz w:val="24"/>
        </w:rPr>
        <w:t>повреждение стойки УФС и прочее).</w:t>
      </w:r>
    </w:p>
    <w:p w:rsidR="0051433A" w:rsidRDefault="008F6F1E" w:rsidP="008F6F1E">
      <w:pPr>
        <w:pStyle w:val="ab"/>
        <w:spacing w:after="0" w:line="240" w:lineRule="auto"/>
        <w:ind w:left="0" w:firstLine="709"/>
        <w:jc w:val="both"/>
        <w:rPr>
          <w:rFonts w:ascii="Times New Roman" w:hAnsi="Times New Roman"/>
          <w:sz w:val="24"/>
          <w:szCs w:val="24"/>
        </w:rPr>
      </w:pPr>
      <w:r>
        <w:rPr>
          <w:rFonts w:ascii="Times New Roman" w:hAnsi="Times New Roman"/>
          <w:sz w:val="24"/>
          <w:szCs w:val="24"/>
        </w:rPr>
        <w:t>На предприятии</w:t>
      </w:r>
      <w:r w:rsidR="0051433A" w:rsidRPr="002E6416">
        <w:rPr>
          <w:rFonts w:ascii="Times New Roman" w:hAnsi="Times New Roman"/>
          <w:sz w:val="24"/>
          <w:szCs w:val="24"/>
        </w:rPr>
        <w:t xml:space="preserve"> ЗАО «ПромСервис» </w:t>
      </w:r>
      <w:r w:rsidR="0051433A">
        <w:rPr>
          <w:rFonts w:ascii="Times New Roman" w:hAnsi="Times New Roman"/>
          <w:sz w:val="24"/>
          <w:szCs w:val="24"/>
        </w:rPr>
        <w:t>существует</w:t>
      </w:r>
      <w:r w:rsidR="0051433A" w:rsidRPr="002E6416">
        <w:rPr>
          <w:rFonts w:ascii="Times New Roman" w:hAnsi="Times New Roman"/>
          <w:sz w:val="24"/>
          <w:szCs w:val="24"/>
        </w:rPr>
        <w:t xml:space="preserve"> методика оценки надежности работы приборов.</w:t>
      </w:r>
      <w:r w:rsidR="0051433A" w:rsidRPr="0051433A">
        <w:rPr>
          <w:rFonts w:ascii="Times New Roman" w:hAnsi="Times New Roman"/>
          <w:sz w:val="24"/>
          <w:szCs w:val="24"/>
        </w:rPr>
        <w:t xml:space="preserve"> </w:t>
      </w:r>
      <w:r w:rsidR="0051433A">
        <w:rPr>
          <w:rFonts w:ascii="Times New Roman" w:hAnsi="Times New Roman"/>
          <w:sz w:val="24"/>
          <w:szCs w:val="24"/>
        </w:rPr>
        <w:t>Данная методика</w:t>
      </w:r>
      <w:r w:rsidR="0051433A" w:rsidRPr="002E6416">
        <w:rPr>
          <w:rFonts w:ascii="Times New Roman" w:hAnsi="Times New Roman"/>
          <w:sz w:val="24"/>
          <w:szCs w:val="24"/>
        </w:rPr>
        <w:t xml:space="preserve"> </w:t>
      </w:r>
      <w:r w:rsidR="0051433A">
        <w:rPr>
          <w:rFonts w:ascii="Times New Roman" w:hAnsi="Times New Roman"/>
          <w:sz w:val="24"/>
          <w:szCs w:val="24"/>
        </w:rPr>
        <w:t>позволяет произвести</w:t>
      </w:r>
      <w:r w:rsidR="0051433A" w:rsidRPr="002E6416">
        <w:rPr>
          <w:rFonts w:ascii="Times New Roman" w:hAnsi="Times New Roman"/>
          <w:sz w:val="24"/>
          <w:szCs w:val="24"/>
        </w:rPr>
        <w:t xml:space="preserve"> расчет следующих показателей:</w:t>
      </w:r>
    </w:p>
    <w:p w:rsidR="0051433A" w:rsidRPr="00180575" w:rsidRDefault="0051433A" w:rsidP="00180575">
      <w:pPr>
        <w:pStyle w:val="a3"/>
        <w:numPr>
          <w:ilvl w:val="0"/>
          <w:numId w:val="19"/>
        </w:numPr>
        <w:spacing w:after="0" w:line="240" w:lineRule="auto"/>
        <w:ind w:left="426"/>
        <w:jc w:val="both"/>
        <w:rPr>
          <w:rFonts w:ascii="Times New Roman" w:hAnsi="Times New Roman"/>
          <w:sz w:val="24"/>
          <w:szCs w:val="24"/>
        </w:rPr>
      </w:pPr>
      <w:r w:rsidRPr="00180575">
        <w:rPr>
          <w:rFonts w:ascii="Times New Roman" w:hAnsi="Times New Roman"/>
          <w:sz w:val="24"/>
          <w:szCs w:val="24"/>
        </w:rPr>
        <w:t>Показатель качества приборов находящихся на гарантии – отношение количества приборов на гарантии, поступивших в ремонт с отказами, произошедшими по вине Производителя, за отчётный период, к  количеству проданных приборов за гарантийный интервал.</w:t>
      </w:r>
    </w:p>
    <w:p w:rsidR="0051433A" w:rsidRPr="00180575" w:rsidRDefault="0051433A" w:rsidP="00180575">
      <w:pPr>
        <w:pStyle w:val="a3"/>
        <w:numPr>
          <w:ilvl w:val="0"/>
          <w:numId w:val="19"/>
        </w:numPr>
        <w:spacing w:after="0" w:line="240" w:lineRule="auto"/>
        <w:ind w:left="426"/>
        <w:jc w:val="both"/>
        <w:rPr>
          <w:rFonts w:ascii="Times New Roman" w:hAnsi="Times New Roman"/>
          <w:sz w:val="24"/>
          <w:szCs w:val="24"/>
        </w:rPr>
      </w:pPr>
      <w:r w:rsidRPr="00180575">
        <w:rPr>
          <w:rFonts w:ascii="Times New Roman" w:hAnsi="Times New Roman"/>
          <w:sz w:val="24"/>
          <w:szCs w:val="24"/>
        </w:rPr>
        <w:t>Показатель качества не гарантийных приборов – отношение количества не гарантийных приборов, поступивших в ремонт с отказами, произошедшими по вине Производителя, за отчётный период, к количеству проданных приборов за предшествующие 8 лет.</w:t>
      </w:r>
    </w:p>
    <w:p w:rsidR="0051433A" w:rsidRPr="00180575" w:rsidRDefault="0051433A" w:rsidP="00180575">
      <w:pPr>
        <w:pStyle w:val="a3"/>
        <w:numPr>
          <w:ilvl w:val="0"/>
          <w:numId w:val="19"/>
        </w:numPr>
        <w:spacing w:after="0" w:line="240" w:lineRule="auto"/>
        <w:ind w:left="426"/>
        <w:jc w:val="both"/>
        <w:rPr>
          <w:rFonts w:ascii="Times New Roman" w:hAnsi="Times New Roman"/>
          <w:sz w:val="24"/>
          <w:szCs w:val="24"/>
        </w:rPr>
      </w:pPr>
      <w:r w:rsidRPr="00180575">
        <w:rPr>
          <w:rFonts w:ascii="Times New Roman" w:hAnsi="Times New Roman"/>
          <w:sz w:val="24"/>
          <w:szCs w:val="24"/>
        </w:rPr>
        <w:t>Показатель качества приборов – отношение суммы гарантийных и не гарантийных приборов, поступивших в ремонт с отказами, произошедшими по вине Производителя, за отчетный период, к общему количеству проданных приборов за 12 лет.</w:t>
      </w:r>
    </w:p>
    <w:p w:rsidR="00A0316B" w:rsidRPr="0051433A" w:rsidRDefault="00A0316B" w:rsidP="00A0316B">
      <w:pPr>
        <w:spacing w:after="0" w:line="240" w:lineRule="auto"/>
        <w:ind w:left="720"/>
        <w:jc w:val="both"/>
        <w:rPr>
          <w:rFonts w:ascii="Times New Roman" w:hAnsi="Times New Roman"/>
          <w:sz w:val="24"/>
          <w:szCs w:val="24"/>
        </w:rPr>
      </w:pPr>
    </w:p>
    <w:p w:rsidR="0051433A" w:rsidRPr="002169D5" w:rsidRDefault="000835D5" w:rsidP="0051433A">
      <w:pPr>
        <w:pStyle w:val="ab"/>
        <w:spacing w:after="0" w:line="240" w:lineRule="auto"/>
        <w:ind w:left="0" w:firstLine="709"/>
        <w:rPr>
          <w:rFonts w:ascii="Times New Roman" w:hAnsi="Times New Roman"/>
          <w:b/>
        </w:rPr>
      </w:pPr>
      <w:r w:rsidRPr="002169D5">
        <w:rPr>
          <w:rFonts w:ascii="Times New Roman" w:hAnsi="Times New Roman"/>
          <w:b/>
        </w:rPr>
        <w:t xml:space="preserve">Таблица 2. </w:t>
      </w:r>
      <w:r w:rsidR="00697A63" w:rsidRPr="002169D5">
        <w:rPr>
          <w:rFonts w:ascii="Times New Roman" w:hAnsi="Times New Roman"/>
          <w:b/>
        </w:rPr>
        <w:t xml:space="preserve"> Градации</w:t>
      </w:r>
      <w:r w:rsidR="00A0316B" w:rsidRPr="002169D5">
        <w:rPr>
          <w:rFonts w:ascii="Times New Roman" w:hAnsi="Times New Roman"/>
          <w:b/>
        </w:rPr>
        <w:t xml:space="preserve"> качества приборов производства ЗАО «ПромСервис»</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4"/>
        <w:gridCol w:w="2433"/>
        <w:gridCol w:w="2385"/>
        <w:gridCol w:w="2009"/>
      </w:tblGrid>
      <w:tr w:rsidR="000835D5" w:rsidRPr="0068219C" w:rsidTr="00F56758">
        <w:trPr>
          <w:jc w:val="center"/>
        </w:trPr>
        <w:tc>
          <w:tcPr>
            <w:tcW w:w="1456" w:type="pct"/>
          </w:tcPr>
          <w:p w:rsidR="000835D5" w:rsidRPr="002169D5" w:rsidRDefault="000835D5" w:rsidP="00687C62">
            <w:pPr>
              <w:ind w:left="728" w:hanging="728"/>
              <w:jc w:val="both"/>
              <w:rPr>
                <w:rFonts w:ascii="Times New Roman" w:hAnsi="Times New Roman"/>
                <w:sz w:val="20"/>
                <w:szCs w:val="20"/>
              </w:rPr>
            </w:pPr>
            <w:r w:rsidRPr="002169D5">
              <w:rPr>
                <w:rFonts w:ascii="Times New Roman" w:hAnsi="Times New Roman"/>
                <w:sz w:val="20"/>
                <w:szCs w:val="20"/>
              </w:rPr>
              <w:t>Уровень показателей качества</w:t>
            </w:r>
          </w:p>
        </w:tc>
        <w:tc>
          <w:tcPr>
            <w:tcW w:w="1263" w:type="pct"/>
          </w:tcPr>
          <w:p w:rsidR="000835D5" w:rsidRPr="002169D5" w:rsidRDefault="000835D5" w:rsidP="00687C62">
            <w:pPr>
              <w:jc w:val="center"/>
              <w:rPr>
                <w:rFonts w:ascii="Times New Roman" w:hAnsi="Times New Roman"/>
                <w:sz w:val="20"/>
                <w:szCs w:val="20"/>
              </w:rPr>
            </w:pPr>
            <w:r w:rsidRPr="002169D5">
              <w:rPr>
                <w:rFonts w:ascii="Times New Roman" w:hAnsi="Times New Roman"/>
                <w:sz w:val="20"/>
                <w:szCs w:val="20"/>
              </w:rPr>
              <w:t>Приборы на гарантии</w:t>
            </w:r>
          </w:p>
        </w:tc>
        <w:tc>
          <w:tcPr>
            <w:tcW w:w="1238" w:type="pct"/>
          </w:tcPr>
          <w:p w:rsidR="000835D5" w:rsidRPr="002169D5" w:rsidRDefault="000835D5" w:rsidP="00687C62">
            <w:pPr>
              <w:jc w:val="center"/>
              <w:rPr>
                <w:rFonts w:ascii="Times New Roman" w:hAnsi="Times New Roman"/>
                <w:sz w:val="20"/>
                <w:szCs w:val="20"/>
              </w:rPr>
            </w:pPr>
            <w:r w:rsidRPr="002169D5">
              <w:rPr>
                <w:rFonts w:ascii="Times New Roman" w:hAnsi="Times New Roman"/>
                <w:sz w:val="20"/>
                <w:szCs w:val="20"/>
              </w:rPr>
              <w:t>Не гарантийные приборы</w:t>
            </w:r>
          </w:p>
        </w:tc>
        <w:tc>
          <w:tcPr>
            <w:tcW w:w="1044" w:type="pct"/>
          </w:tcPr>
          <w:p w:rsidR="000835D5" w:rsidRPr="002169D5" w:rsidRDefault="000835D5" w:rsidP="00687C62">
            <w:pPr>
              <w:jc w:val="center"/>
              <w:rPr>
                <w:rFonts w:ascii="Times New Roman" w:hAnsi="Times New Roman"/>
                <w:sz w:val="20"/>
                <w:szCs w:val="20"/>
              </w:rPr>
            </w:pPr>
            <w:r w:rsidRPr="002169D5">
              <w:rPr>
                <w:rFonts w:ascii="Times New Roman" w:hAnsi="Times New Roman"/>
                <w:sz w:val="20"/>
                <w:szCs w:val="20"/>
              </w:rPr>
              <w:t>Общий показатель</w:t>
            </w:r>
          </w:p>
        </w:tc>
      </w:tr>
      <w:tr w:rsidR="000835D5" w:rsidRPr="0068219C" w:rsidTr="00F56758">
        <w:trPr>
          <w:trHeight w:val="310"/>
          <w:jc w:val="center"/>
        </w:trPr>
        <w:tc>
          <w:tcPr>
            <w:tcW w:w="1456" w:type="pct"/>
          </w:tcPr>
          <w:p w:rsidR="000835D5" w:rsidRPr="002169D5" w:rsidRDefault="000835D5" w:rsidP="00687C62">
            <w:pPr>
              <w:jc w:val="both"/>
              <w:rPr>
                <w:rFonts w:ascii="Times New Roman" w:hAnsi="Times New Roman"/>
                <w:sz w:val="20"/>
                <w:szCs w:val="20"/>
              </w:rPr>
            </w:pPr>
            <w:r w:rsidRPr="002169D5">
              <w:rPr>
                <w:rFonts w:ascii="Times New Roman" w:hAnsi="Times New Roman"/>
                <w:sz w:val="20"/>
                <w:szCs w:val="20"/>
              </w:rPr>
              <w:t>1. Очень высокое.</w:t>
            </w:r>
          </w:p>
        </w:tc>
        <w:tc>
          <w:tcPr>
            <w:tcW w:w="1263" w:type="pct"/>
          </w:tcPr>
          <w:p w:rsidR="000835D5" w:rsidRPr="002169D5" w:rsidRDefault="000835D5" w:rsidP="00687C62">
            <w:pPr>
              <w:jc w:val="center"/>
              <w:rPr>
                <w:rFonts w:ascii="Times New Roman" w:hAnsi="Times New Roman"/>
                <w:sz w:val="20"/>
                <w:szCs w:val="20"/>
                <w:lang w:val="en-US"/>
              </w:rPr>
            </w:pPr>
            <w:r w:rsidRPr="002169D5">
              <w:rPr>
                <w:rFonts w:ascii="Times New Roman" w:hAnsi="Times New Roman"/>
                <w:sz w:val="20"/>
                <w:szCs w:val="20"/>
                <w:lang w:val="en-US"/>
              </w:rPr>
              <w:t>&lt; 0.</w:t>
            </w:r>
            <w:r w:rsidRPr="002169D5">
              <w:rPr>
                <w:rFonts w:ascii="Times New Roman" w:hAnsi="Times New Roman"/>
                <w:sz w:val="20"/>
                <w:szCs w:val="20"/>
              </w:rPr>
              <w:t>1</w:t>
            </w:r>
            <w:r w:rsidRPr="002169D5">
              <w:rPr>
                <w:rFonts w:ascii="Times New Roman" w:hAnsi="Times New Roman"/>
                <w:sz w:val="20"/>
                <w:szCs w:val="20"/>
                <w:lang w:val="en-US"/>
              </w:rPr>
              <w:t xml:space="preserve"> %</w:t>
            </w:r>
          </w:p>
        </w:tc>
        <w:tc>
          <w:tcPr>
            <w:tcW w:w="1238" w:type="pct"/>
          </w:tcPr>
          <w:p w:rsidR="000835D5" w:rsidRPr="002169D5" w:rsidRDefault="000835D5" w:rsidP="00687C62">
            <w:pPr>
              <w:jc w:val="center"/>
              <w:rPr>
                <w:rFonts w:ascii="Times New Roman" w:hAnsi="Times New Roman"/>
                <w:sz w:val="20"/>
                <w:szCs w:val="20"/>
                <w:lang w:val="en-US"/>
              </w:rPr>
            </w:pPr>
            <w:r w:rsidRPr="002169D5">
              <w:rPr>
                <w:rFonts w:ascii="Times New Roman" w:hAnsi="Times New Roman"/>
                <w:sz w:val="20"/>
                <w:szCs w:val="20"/>
                <w:lang w:val="en-US"/>
              </w:rPr>
              <w:t xml:space="preserve">&lt; </w:t>
            </w:r>
            <w:r w:rsidRPr="002169D5">
              <w:rPr>
                <w:rFonts w:ascii="Times New Roman" w:hAnsi="Times New Roman"/>
                <w:sz w:val="20"/>
                <w:szCs w:val="20"/>
              </w:rPr>
              <w:t>0</w:t>
            </w:r>
            <w:r w:rsidRPr="002169D5">
              <w:rPr>
                <w:rFonts w:ascii="Times New Roman" w:hAnsi="Times New Roman"/>
                <w:sz w:val="20"/>
                <w:szCs w:val="20"/>
                <w:lang w:val="en-US"/>
              </w:rPr>
              <w:t>.</w:t>
            </w:r>
            <w:r w:rsidRPr="002169D5">
              <w:rPr>
                <w:rFonts w:ascii="Times New Roman" w:hAnsi="Times New Roman"/>
                <w:sz w:val="20"/>
                <w:szCs w:val="20"/>
              </w:rPr>
              <w:t>25</w:t>
            </w:r>
            <w:r w:rsidRPr="002169D5">
              <w:rPr>
                <w:rFonts w:ascii="Times New Roman" w:hAnsi="Times New Roman"/>
                <w:sz w:val="20"/>
                <w:szCs w:val="20"/>
                <w:lang w:val="en-US"/>
              </w:rPr>
              <w:t>%</w:t>
            </w:r>
          </w:p>
        </w:tc>
        <w:tc>
          <w:tcPr>
            <w:tcW w:w="1044" w:type="pct"/>
          </w:tcPr>
          <w:p w:rsidR="000835D5" w:rsidRPr="002169D5" w:rsidRDefault="000835D5" w:rsidP="00687C62">
            <w:pPr>
              <w:jc w:val="center"/>
              <w:rPr>
                <w:rFonts w:ascii="Times New Roman" w:hAnsi="Times New Roman"/>
                <w:sz w:val="20"/>
                <w:szCs w:val="20"/>
                <w:lang w:val="en-US"/>
              </w:rPr>
            </w:pPr>
            <w:r w:rsidRPr="002169D5">
              <w:rPr>
                <w:rFonts w:ascii="Times New Roman" w:hAnsi="Times New Roman"/>
                <w:sz w:val="20"/>
                <w:szCs w:val="20"/>
              </w:rPr>
              <w:t>&lt; 0. 20</w:t>
            </w:r>
            <w:r w:rsidRPr="002169D5">
              <w:rPr>
                <w:rFonts w:ascii="Times New Roman" w:hAnsi="Times New Roman"/>
                <w:sz w:val="20"/>
                <w:szCs w:val="20"/>
                <w:lang w:val="en-US"/>
              </w:rPr>
              <w:t xml:space="preserve"> %</w:t>
            </w:r>
          </w:p>
        </w:tc>
      </w:tr>
      <w:tr w:rsidR="000835D5" w:rsidRPr="0068219C" w:rsidTr="00F56758">
        <w:trPr>
          <w:trHeight w:val="288"/>
          <w:jc w:val="center"/>
        </w:trPr>
        <w:tc>
          <w:tcPr>
            <w:tcW w:w="1456" w:type="pct"/>
          </w:tcPr>
          <w:p w:rsidR="000835D5" w:rsidRPr="002169D5" w:rsidRDefault="000835D5" w:rsidP="00687C62">
            <w:pPr>
              <w:jc w:val="both"/>
              <w:rPr>
                <w:rFonts w:ascii="Times New Roman" w:hAnsi="Times New Roman"/>
                <w:sz w:val="20"/>
                <w:szCs w:val="20"/>
              </w:rPr>
            </w:pPr>
            <w:r w:rsidRPr="002169D5">
              <w:rPr>
                <w:rFonts w:ascii="Times New Roman" w:hAnsi="Times New Roman"/>
                <w:sz w:val="20"/>
                <w:szCs w:val="20"/>
              </w:rPr>
              <w:t>2. Высокое.</w:t>
            </w:r>
          </w:p>
        </w:tc>
        <w:tc>
          <w:tcPr>
            <w:tcW w:w="1263" w:type="pct"/>
          </w:tcPr>
          <w:p w:rsidR="000835D5" w:rsidRPr="002169D5" w:rsidRDefault="000835D5" w:rsidP="00687C62">
            <w:pPr>
              <w:jc w:val="center"/>
              <w:rPr>
                <w:rFonts w:ascii="Times New Roman" w:hAnsi="Times New Roman"/>
                <w:sz w:val="20"/>
                <w:szCs w:val="20"/>
              </w:rPr>
            </w:pPr>
            <w:r w:rsidRPr="002169D5">
              <w:rPr>
                <w:rFonts w:ascii="Times New Roman" w:hAnsi="Times New Roman"/>
                <w:sz w:val="20"/>
                <w:szCs w:val="20"/>
              </w:rPr>
              <w:t>(0.1 – 0.2) %</w:t>
            </w:r>
          </w:p>
        </w:tc>
        <w:tc>
          <w:tcPr>
            <w:tcW w:w="1238" w:type="pct"/>
          </w:tcPr>
          <w:p w:rsidR="000835D5" w:rsidRPr="002169D5" w:rsidRDefault="000835D5" w:rsidP="00687C62">
            <w:pPr>
              <w:jc w:val="center"/>
              <w:rPr>
                <w:rFonts w:ascii="Times New Roman" w:hAnsi="Times New Roman"/>
                <w:sz w:val="20"/>
                <w:szCs w:val="20"/>
              </w:rPr>
            </w:pPr>
            <w:r w:rsidRPr="002169D5">
              <w:rPr>
                <w:rFonts w:ascii="Times New Roman" w:hAnsi="Times New Roman"/>
                <w:sz w:val="20"/>
                <w:szCs w:val="20"/>
              </w:rPr>
              <w:t>(0.25 – 0.50) %</w:t>
            </w:r>
          </w:p>
        </w:tc>
        <w:tc>
          <w:tcPr>
            <w:tcW w:w="1044" w:type="pct"/>
          </w:tcPr>
          <w:p w:rsidR="000835D5" w:rsidRPr="002169D5" w:rsidRDefault="000835D5" w:rsidP="00687C62">
            <w:pPr>
              <w:jc w:val="center"/>
              <w:rPr>
                <w:rFonts w:ascii="Times New Roman" w:hAnsi="Times New Roman"/>
                <w:sz w:val="20"/>
                <w:szCs w:val="20"/>
              </w:rPr>
            </w:pPr>
            <w:r w:rsidRPr="002169D5">
              <w:rPr>
                <w:rFonts w:ascii="Times New Roman" w:hAnsi="Times New Roman"/>
                <w:sz w:val="20"/>
                <w:szCs w:val="20"/>
              </w:rPr>
              <w:t>(0.20 – 0.40) %</w:t>
            </w:r>
          </w:p>
        </w:tc>
      </w:tr>
      <w:tr w:rsidR="000835D5" w:rsidRPr="0068219C" w:rsidTr="00F56758">
        <w:trPr>
          <w:trHeight w:val="266"/>
          <w:jc w:val="center"/>
        </w:trPr>
        <w:tc>
          <w:tcPr>
            <w:tcW w:w="1456" w:type="pct"/>
          </w:tcPr>
          <w:p w:rsidR="000835D5" w:rsidRPr="002169D5" w:rsidRDefault="000835D5" w:rsidP="00687C62">
            <w:pPr>
              <w:jc w:val="both"/>
              <w:rPr>
                <w:rFonts w:ascii="Times New Roman" w:hAnsi="Times New Roman"/>
                <w:sz w:val="20"/>
                <w:szCs w:val="20"/>
              </w:rPr>
            </w:pPr>
            <w:r w:rsidRPr="002169D5">
              <w:rPr>
                <w:rFonts w:ascii="Times New Roman" w:hAnsi="Times New Roman"/>
                <w:sz w:val="20"/>
                <w:szCs w:val="20"/>
              </w:rPr>
              <w:t>3. Достаточное.</w:t>
            </w:r>
          </w:p>
        </w:tc>
        <w:tc>
          <w:tcPr>
            <w:tcW w:w="1263" w:type="pct"/>
          </w:tcPr>
          <w:p w:rsidR="000835D5" w:rsidRPr="002169D5" w:rsidRDefault="000835D5" w:rsidP="00687C62">
            <w:pPr>
              <w:jc w:val="center"/>
              <w:rPr>
                <w:rFonts w:ascii="Times New Roman" w:hAnsi="Times New Roman"/>
                <w:sz w:val="20"/>
                <w:szCs w:val="20"/>
              </w:rPr>
            </w:pPr>
            <w:r w:rsidRPr="002169D5">
              <w:rPr>
                <w:rFonts w:ascii="Times New Roman" w:hAnsi="Times New Roman"/>
                <w:sz w:val="20"/>
                <w:szCs w:val="20"/>
              </w:rPr>
              <w:t>(0.2 – 0.3) %</w:t>
            </w:r>
          </w:p>
        </w:tc>
        <w:tc>
          <w:tcPr>
            <w:tcW w:w="1238" w:type="pct"/>
          </w:tcPr>
          <w:p w:rsidR="000835D5" w:rsidRPr="002169D5" w:rsidRDefault="000835D5" w:rsidP="00687C62">
            <w:pPr>
              <w:jc w:val="center"/>
              <w:rPr>
                <w:rFonts w:ascii="Times New Roman" w:hAnsi="Times New Roman"/>
                <w:sz w:val="20"/>
                <w:szCs w:val="20"/>
              </w:rPr>
            </w:pPr>
            <w:r w:rsidRPr="002169D5">
              <w:rPr>
                <w:rFonts w:ascii="Times New Roman" w:hAnsi="Times New Roman"/>
                <w:sz w:val="20"/>
                <w:szCs w:val="20"/>
              </w:rPr>
              <w:t>(0.50– 0.75) %</w:t>
            </w:r>
          </w:p>
        </w:tc>
        <w:tc>
          <w:tcPr>
            <w:tcW w:w="1044" w:type="pct"/>
          </w:tcPr>
          <w:p w:rsidR="000835D5" w:rsidRPr="002169D5" w:rsidRDefault="000835D5" w:rsidP="00687C62">
            <w:pPr>
              <w:jc w:val="center"/>
              <w:rPr>
                <w:rFonts w:ascii="Times New Roman" w:hAnsi="Times New Roman"/>
                <w:sz w:val="20"/>
                <w:szCs w:val="20"/>
              </w:rPr>
            </w:pPr>
            <w:r w:rsidRPr="002169D5">
              <w:rPr>
                <w:rFonts w:ascii="Times New Roman" w:hAnsi="Times New Roman"/>
                <w:sz w:val="20"/>
                <w:szCs w:val="20"/>
              </w:rPr>
              <w:t>(0.40 – 0.60) %</w:t>
            </w:r>
          </w:p>
        </w:tc>
      </w:tr>
      <w:tr w:rsidR="000835D5" w:rsidRPr="0068219C" w:rsidTr="00F56758">
        <w:trPr>
          <w:trHeight w:val="248"/>
          <w:jc w:val="center"/>
        </w:trPr>
        <w:tc>
          <w:tcPr>
            <w:tcW w:w="1456" w:type="pct"/>
          </w:tcPr>
          <w:p w:rsidR="000835D5" w:rsidRPr="002169D5" w:rsidRDefault="000835D5" w:rsidP="00687C62">
            <w:pPr>
              <w:jc w:val="both"/>
              <w:rPr>
                <w:rFonts w:ascii="Times New Roman" w:hAnsi="Times New Roman"/>
                <w:sz w:val="20"/>
                <w:szCs w:val="20"/>
              </w:rPr>
            </w:pPr>
            <w:r w:rsidRPr="002169D5">
              <w:rPr>
                <w:rFonts w:ascii="Times New Roman" w:hAnsi="Times New Roman"/>
                <w:sz w:val="20"/>
                <w:szCs w:val="20"/>
              </w:rPr>
              <w:t>4. Удовлетворительное.</w:t>
            </w:r>
          </w:p>
        </w:tc>
        <w:tc>
          <w:tcPr>
            <w:tcW w:w="1263" w:type="pct"/>
          </w:tcPr>
          <w:p w:rsidR="000835D5" w:rsidRPr="002169D5" w:rsidRDefault="000835D5" w:rsidP="00687C62">
            <w:pPr>
              <w:jc w:val="center"/>
              <w:rPr>
                <w:rFonts w:ascii="Times New Roman" w:hAnsi="Times New Roman"/>
                <w:sz w:val="20"/>
                <w:szCs w:val="20"/>
              </w:rPr>
            </w:pPr>
            <w:r w:rsidRPr="002169D5">
              <w:rPr>
                <w:rFonts w:ascii="Times New Roman" w:hAnsi="Times New Roman"/>
                <w:sz w:val="20"/>
                <w:szCs w:val="20"/>
              </w:rPr>
              <w:t>(0.3 – 0.5) %</w:t>
            </w:r>
          </w:p>
        </w:tc>
        <w:tc>
          <w:tcPr>
            <w:tcW w:w="1238" w:type="pct"/>
          </w:tcPr>
          <w:p w:rsidR="000835D5" w:rsidRPr="002169D5" w:rsidRDefault="000835D5" w:rsidP="00687C62">
            <w:pPr>
              <w:jc w:val="center"/>
              <w:rPr>
                <w:rFonts w:ascii="Times New Roman" w:hAnsi="Times New Roman"/>
                <w:sz w:val="20"/>
                <w:szCs w:val="20"/>
              </w:rPr>
            </w:pPr>
            <w:r w:rsidRPr="002169D5">
              <w:rPr>
                <w:rFonts w:ascii="Times New Roman" w:hAnsi="Times New Roman"/>
                <w:sz w:val="20"/>
                <w:szCs w:val="20"/>
              </w:rPr>
              <w:t>(0.75 – 1.00)%</w:t>
            </w:r>
          </w:p>
        </w:tc>
        <w:tc>
          <w:tcPr>
            <w:tcW w:w="1044" w:type="pct"/>
          </w:tcPr>
          <w:p w:rsidR="000835D5" w:rsidRPr="002169D5" w:rsidRDefault="000835D5" w:rsidP="00687C62">
            <w:pPr>
              <w:jc w:val="center"/>
              <w:rPr>
                <w:rFonts w:ascii="Times New Roman" w:hAnsi="Times New Roman"/>
                <w:sz w:val="20"/>
                <w:szCs w:val="20"/>
              </w:rPr>
            </w:pPr>
            <w:r w:rsidRPr="002169D5">
              <w:rPr>
                <w:rFonts w:ascii="Times New Roman" w:hAnsi="Times New Roman"/>
                <w:sz w:val="20"/>
                <w:szCs w:val="20"/>
              </w:rPr>
              <w:t>(0.60 – 0.80) %</w:t>
            </w:r>
          </w:p>
        </w:tc>
      </w:tr>
      <w:tr w:rsidR="000835D5" w:rsidRPr="0068219C" w:rsidTr="00F56758">
        <w:trPr>
          <w:trHeight w:val="226"/>
          <w:jc w:val="center"/>
        </w:trPr>
        <w:tc>
          <w:tcPr>
            <w:tcW w:w="1456" w:type="pct"/>
          </w:tcPr>
          <w:p w:rsidR="000835D5" w:rsidRPr="002169D5" w:rsidRDefault="000835D5" w:rsidP="00687C62">
            <w:pPr>
              <w:jc w:val="both"/>
              <w:rPr>
                <w:rFonts w:ascii="Times New Roman" w:hAnsi="Times New Roman"/>
                <w:sz w:val="20"/>
                <w:szCs w:val="20"/>
              </w:rPr>
            </w:pPr>
            <w:r w:rsidRPr="002169D5">
              <w:rPr>
                <w:rFonts w:ascii="Times New Roman" w:hAnsi="Times New Roman"/>
                <w:sz w:val="20"/>
                <w:szCs w:val="20"/>
              </w:rPr>
              <w:t>5.Не удовлетворительное</w:t>
            </w:r>
          </w:p>
        </w:tc>
        <w:tc>
          <w:tcPr>
            <w:tcW w:w="1263" w:type="pct"/>
          </w:tcPr>
          <w:p w:rsidR="000835D5" w:rsidRPr="002169D5" w:rsidRDefault="000835D5" w:rsidP="00687C62">
            <w:pPr>
              <w:jc w:val="center"/>
              <w:rPr>
                <w:rFonts w:ascii="Times New Roman" w:hAnsi="Times New Roman"/>
                <w:sz w:val="20"/>
                <w:szCs w:val="20"/>
              </w:rPr>
            </w:pPr>
            <w:r w:rsidRPr="002169D5">
              <w:rPr>
                <w:rFonts w:ascii="Times New Roman" w:hAnsi="Times New Roman"/>
                <w:sz w:val="20"/>
                <w:szCs w:val="20"/>
              </w:rPr>
              <w:t>&gt; 0,5%</w:t>
            </w:r>
          </w:p>
        </w:tc>
        <w:tc>
          <w:tcPr>
            <w:tcW w:w="1238" w:type="pct"/>
          </w:tcPr>
          <w:p w:rsidR="000835D5" w:rsidRPr="002169D5" w:rsidRDefault="000835D5" w:rsidP="00687C62">
            <w:pPr>
              <w:jc w:val="center"/>
              <w:rPr>
                <w:rFonts w:ascii="Times New Roman" w:hAnsi="Times New Roman"/>
                <w:sz w:val="20"/>
                <w:szCs w:val="20"/>
              </w:rPr>
            </w:pPr>
            <w:r w:rsidRPr="002169D5">
              <w:rPr>
                <w:rFonts w:ascii="Times New Roman" w:hAnsi="Times New Roman"/>
                <w:sz w:val="20"/>
                <w:szCs w:val="20"/>
              </w:rPr>
              <w:t>&gt; 1.00 %</w:t>
            </w:r>
          </w:p>
        </w:tc>
        <w:tc>
          <w:tcPr>
            <w:tcW w:w="1044" w:type="pct"/>
          </w:tcPr>
          <w:p w:rsidR="000835D5" w:rsidRPr="002169D5" w:rsidRDefault="000835D5" w:rsidP="00687C62">
            <w:pPr>
              <w:jc w:val="center"/>
              <w:rPr>
                <w:rFonts w:ascii="Times New Roman" w:hAnsi="Times New Roman"/>
                <w:sz w:val="20"/>
                <w:szCs w:val="20"/>
              </w:rPr>
            </w:pPr>
            <w:r w:rsidRPr="002169D5">
              <w:rPr>
                <w:rFonts w:ascii="Times New Roman" w:hAnsi="Times New Roman"/>
                <w:sz w:val="20"/>
                <w:szCs w:val="20"/>
              </w:rPr>
              <w:t>&gt; 0.80 %</w:t>
            </w:r>
          </w:p>
        </w:tc>
      </w:tr>
    </w:tbl>
    <w:p w:rsidR="0051433A" w:rsidRDefault="0051433A" w:rsidP="00180575">
      <w:pPr>
        <w:pStyle w:val="ab"/>
        <w:spacing w:after="0" w:line="240" w:lineRule="auto"/>
        <w:ind w:firstLine="709"/>
        <w:rPr>
          <w:rFonts w:ascii="Times New Roman" w:hAnsi="Times New Roman"/>
          <w:sz w:val="24"/>
        </w:rPr>
      </w:pPr>
    </w:p>
    <w:p w:rsidR="001A1959" w:rsidRPr="002169D5" w:rsidRDefault="00F52274" w:rsidP="00180575">
      <w:pPr>
        <w:pStyle w:val="ab"/>
        <w:spacing w:after="0" w:line="240" w:lineRule="auto"/>
        <w:ind w:left="0" w:firstLine="709"/>
        <w:jc w:val="both"/>
        <w:rPr>
          <w:rFonts w:ascii="Times New Roman" w:hAnsi="Times New Roman"/>
        </w:rPr>
      </w:pPr>
      <w:r>
        <w:rPr>
          <w:rFonts w:ascii="Times New Roman" w:hAnsi="Times New Roman"/>
        </w:rPr>
        <w:t>В Т</w:t>
      </w:r>
      <w:r w:rsidR="002169D5" w:rsidRPr="002169D5">
        <w:rPr>
          <w:rFonts w:ascii="Times New Roman" w:hAnsi="Times New Roman"/>
        </w:rPr>
        <w:t xml:space="preserve">аблице 3 представлены показатели качества продукции ЗАО «ПромСервис» в период с 2011-2015 года. Из таблицы  видно, что показатели качества основных видов продукции, входящих в состав узла учёта, держатся на высоком уровне. </w:t>
      </w:r>
    </w:p>
    <w:p w:rsidR="002169D5" w:rsidRPr="002169D5" w:rsidRDefault="002169D5" w:rsidP="00180575">
      <w:pPr>
        <w:pStyle w:val="ab"/>
        <w:spacing w:after="0" w:line="240" w:lineRule="auto"/>
        <w:ind w:left="0" w:firstLine="709"/>
        <w:jc w:val="both"/>
        <w:rPr>
          <w:rFonts w:ascii="Times New Roman" w:hAnsi="Times New Roman"/>
          <w:sz w:val="24"/>
          <w:szCs w:val="24"/>
        </w:rPr>
      </w:pPr>
    </w:p>
    <w:p w:rsidR="001E7A3B" w:rsidRPr="002169D5" w:rsidRDefault="00BA4514" w:rsidP="00180575">
      <w:pPr>
        <w:pStyle w:val="2"/>
        <w:spacing w:after="0" w:line="240" w:lineRule="auto"/>
        <w:ind w:left="0" w:firstLine="720"/>
        <w:jc w:val="both"/>
        <w:rPr>
          <w:b/>
        </w:rPr>
      </w:pPr>
      <w:r w:rsidRPr="002169D5">
        <w:rPr>
          <w:b/>
          <w:sz w:val="22"/>
          <w:szCs w:val="22"/>
        </w:rPr>
        <w:t>Таблица 3. Общих показателей качества приборов, за период с 2011-2015 гг</w:t>
      </w:r>
      <w:r w:rsidRPr="002169D5">
        <w:rPr>
          <w:b/>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1592"/>
        <w:gridCol w:w="2033"/>
        <w:gridCol w:w="2023"/>
        <w:gridCol w:w="2088"/>
        <w:gridCol w:w="1134"/>
        <w:gridCol w:w="1134"/>
      </w:tblGrid>
      <w:tr w:rsidR="00B55223" w:rsidRPr="009F29AD" w:rsidTr="00B55223">
        <w:trPr>
          <w:trHeight w:val="496"/>
        </w:trPr>
        <w:tc>
          <w:tcPr>
            <w:tcW w:w="486" w:type="dxa"/>
            <w:vMerge w:val="restart"/>
            <w:shd w:val="clear" w:color="auto" w:fill="auto"/>
            <w:hideMark/>
          </w:tcPr>
          <w:p w:rsidR="00697A63" w:rsidRPr="00697A63" w:rsidRDefault="00697A63" w:rsidP="00687C62">
            <w:pPr>
              <w:jc w:val="center"/>
              <w:rPr>
                <w:rFonts w:ascii="Times New Roman" w:hAnsi="Times New Roman"/>
                <w:sz w:val="20"/>
                <w:szCs w:val="20"/>
              </w:rPr>
            </w:pPr>
            <w:r w:rsidRPr="00697A63">
              <w:rPr>
                <w:rFonts w:ascii="Times New Roman" w:hAnsi="Times New Roman"/>
                <w:bCs/>
                <w:sz w:val="20"/>
                <w:szCs w:val="20"/>
              </w:rPr>
              <w:t>№ п/п</w:t>
            </w:r>
          </w:p>
        </w:tc>
        <w:tc>
          <w:tcPr>
            <w:tcW w:w="1592" w:type="dxa"/>
            <w:vMerge w:val="restart"/>
            <w:shd w:val="clear" w:color="auto" w:fill="auto"/>
            <w:hideMark/>
          </w:tcPr>
          <w:p w:rsidR="00697A63" w:rsidRPr="00697A63" w:rsidRDefault="00697A63" w:rsidP="00687C62">
            <w:pPr>
              <w:jc w:val="both"/>
              <w:rPr>
                <w:rFonts w:ascii="Times New Roman" w:hAnsi="Times New Roman"/>
                <w:sz w:val="20"/>
                <w:szCs w:val="20"/>
              </w:rPr>
            </w:pPr>
            <w:r w:rsidRPr="00697A63">
              <w:rPr>
                <w:rFonts w:ascii="Times New Roman" w:hAnsi="Times New Roman"/>
                <w:bCs/>
                <w:sz w:val="20"/>
                <w:szCs w:val="20"/>
              </w:rPr>
              <w:t>Наименование прибора</w:t>
            </w:r>
          </w:p>
        </w:tc>
        <w:tc>
          <w:tcPr>
            <w:tcW w:w="8412" w:type="dxa"/>
            <w:gridSpan w:val="5"/>
            <w:shd w:val="clear" w:color="auto" w:fill="auto"/>
            <w:hideMark/>
          </w:tcPr>
          <w:p w:rsidR="00697A63" w:rsidRPr="00697A63" w:rsidRDefault="00697A63" w:rsidP="00687C62">
            <w:pPr>
              <w:jc w:val="both"/>
              <w:rPr>
                <w:rFonts w:ascii="Times New Roman" w:hAnsi="Times New Roman"/>
                <w:sz w:val="20"/>
                <w:szCs w:val="20"/>
              </w:rPr>
            </w:pPr>
            <w:r w:rsidRPr="00697A63">
              <w:rPr>
                <w:rFonts w:ascii="Times New Roman" w:hAnsi="Times New Roman"/>
                <w:sz w:val="20"/>
                <w:szCs w:val="20"/>
              </w:rPr>
              <w:t xml:space="preserve">% отказов приборов, по которым выявлен отказ </w:t>
            </w:r>
            <w:r w:rsidR="00B55223">
              <w:rPr>
                <w:rFonts w:ascii="Times New Roman" w:hAnsi="Times New Roman"/>
                <w:sz w:val="20"/>
                <w:szCs w:val="20"/>
              </w:rPr>
              <w:t xml:space="preserve">в </w:t>
            </w:r>
            <w:r w:rsidRPr="00697A63">
              <w:rPr>
                <w:rFonts w:ascii="Times New Roman" w:hAnsi="Times New Roman"/>
                <w:sz w:val="20"/>
                <w:szCs w:val="20"/>
              </w:rPr>
              <w:t>общем объеме продаж</w:t>
            </w:r>
          </w:p>
        </w:tc>
      </w:tr>
      <w:tr w:rsidR="00B55223" w:rsidRPr="009F29AD" w:rsidTr="000F6E3D">
        <w:trPr>
          <w:trHeight w:val="242"/>
        </w:trPr>
        <w:tc>
          <w:tcPr>
            <w:tcW w:w="486" w:type="dxa"/>
            <w:vMerge/>
            <w:vAlign w:val="center"/>
            <w:hideMark/>
          </w:tcPr>
          <w:p w:rsidR="00697A63" w:rsidRPr="00697A63" w:rsidRDefault="00697A63" w:rsidP="00687C62">
            <w:pPr>
              <w:rPr>
                <w:rFonts w:ascii="Times New Roman" w:hAnsi="Times New Roman"/>
                <w:sz w:val="20"/>
                <w:szCs w:val="20"/>
              </w:rPr>
            </w:pPr>
          </w:p>
        </w:tc>
        <w:tc>
          <w:tcPr>
            <w:tcW w:w="1592" w:type="dxa"/>
            <w:vMerge/>
            <w:vAlign w:val="center"/>
            <w:hideMark/>
          </w:tcPr>
          <w:p w:rsidR="00697A63" w:rsidRPr="00697A63" w:rsidRDefault="00697A63" w:rsidP="00687C62">
            <w:pPr>
              <w:rPr>
                <w:rFonts w:ascii="Times New Roman" w:hAnsi="Times New Roman"/>
                <w:sz w:val="20"/>
                <w:szCs w:val="20"/>
              </w:rPr>
            </w:pPr>
          </w:p>
        </w:tc>
        <w:tc>
          <w:tcPr>
            <w:tcW w:w="2033" w:type="dxa"/>
            <w:shd w:val="clear" w:color="auto" w:fill="auto"/>
            <w:hideMark/>
          </w:tcPr>
          <w:p w:rsidR="00697A63" w:rsidRPr="00697A63" w:rsidRDefault="00697A63" w:rsidP="00687C62">
            <w:pPr>
              <w:jc w:val="center"/>
              <w:rPr>
                <w:rFonts w:ascii="Times New Roman" w:hAnsi="Times New Roman"/>
                <w:sz w:val="20"/>
                <w:szCs w:val="20"/>
              </w:rPr>
            </w:pPr>
            <w:r w:rsidRPr="00697A63">
              <w:rPr>
                <w:rFonts w:ascii="Times New Roman" w:hAnsi="Times New Roman"/>
                <w:bCs/>
                <w:sz w:val="20"/>
                <w:szCs w:val="20"/>
              </w:rPr>
              <w:t>2011</w:t>
            </w:r>
          </w:p>
        </w:tc>
        <w:tc>
          <w:tcPr>
            <w:tcW w:w="2023" w:type="dxa"/>
            <w:shd w:val="clear" w:color="auto" w:fill="auto"/>
            <w:hideMark/>
          </w:tcPr>
          <w:p w:rsidR="00697A63" w:rsidRPr="00697A63" w:rsidRDefault="00697A63" w:rsidP="00687C62">
            <w:pPr>
              <w:jc w:val="center"/>
              <w:rPr>
                <w:rFonts w:ascii="Times New Roman" w:hAnsi="Times New Roman"/>
                <w:sz w:val="20"/>
                <w:szCs w:val="20"/>
              </w:rPr>
            </w:pPr>
            <w:r w:rsidRPr="00697A63">
              <w:rPr>
                <w:rFonts w:ascii="Times New Roman" w:hAnsi="Times New Roman"/>
                <w:sz w:val="20"/>
                <w:szCs w:val="20"/>
              </w:rPr>
              <w:t>2012</w:t>
            </w:r>
          </w:p>
        </w:tc>
        <w:tc>
          <w:tcPr>
            <w:tcW w:w="2088" w:type="dxa"/>
            <w:shd w:val="clear" w:color="auto" w:fill="auto"/>
            <w:hideMark/>
          </w:tcPr>
          <w:p w:rsidR="00697A63" w:rsidRPr="00697A63" w:rsidRDefault="00697A63" w:rsidP="00687C62">
            <w:pPr>
              <w:jc w:val="center"/>
              <w:rPr>
                <w:rFonts w:ascii="Times New Roman" w:hAnsi="Times New Roman"/>
                <w:sz w:val="20"/>
                <w:szCs w:val="20"/>
              </w:rPr>
            </w:pPr>
            <w:r w:rsidRPr="00697A63">
              <w:rPr>
                <w:rFonts w:ascii="Times New Roman" w:hAnsi="Times New Roman"/>
                <w:sz w:val="20"/>
                <w:szCs w:val="20"/>
              </w:rPr>
              <w:t xml:space="preserve">2013 </w:t>
            </w:r>
          </w:p>
        </w:tc>
        <w:tc>
          <w:tcPr>
            <w:tcW w:w="1134" w:type="dxa"/>
            <w:shd w:val="clear" w:color="auto" w:fill="auto"/>
            <w:hideMark/>
          </w:tcPr>
          <w:p w:rsidR="00697A63" w:rsidRPr="00697A63" w:rsidRDefault="00697A63" w:rsidP="00687C62">
            <w:pPr>
              <w:jc w:val="center"/>
              <w:rPr>
                <w:rFonts w:ascii="Times New Roman" w:hAnsi="Times New Roman"/>
                <w:sz w:val="20"/>
                <w:szCs w:val="20"/>
              </w:rPr>
            </w:pPr>
            <w:r w:rsidRPr="00697A63">
              <w:rPr>
                <w:rFonts w:ascii="Times New Roman" w:hAnsi="Times New Roman"/>
                <w:sz w:val="20"/>
                <w:szCs w:val="20"/>
              </w:rPr>
              <w:t>2014</w:t>
            </w:r>
          </w:p>
        </w:tc>
        <w:tc>
          <w:tcPr>
            <w:tcW w:w="1134" w:type="dxa"/>
            <w:shd w:val="clear" w:color="auto" w:fill="auto"/>
            <w:hideMark/>
          </w:tcPr>
          <w:p w:rsidR="00697A63" w:rsidRPr="00697A63" w:rsidRDefault="00697A63" w:rsidP="00687C62">
            <w:pPr>
              <w:jc w:val="center"/>
              <w:rPr>
                <w:rFonts w:ascii="Times New Roman" w:hAnsi="Times New Roman"/>
                <w:sz w:val="20"/>
                <w:szCs w:val="20"/>
              </w:rPr>
            </w:pPr>
            <w:r w:rsidRPr="00697A63">
              <w:rPr>
                <w:rFonts w:ascii="Times New Roman" w:hAnsi="Times New Roman"/>
                <w:sz w:val="20"/>
                <w:szCs w:val="20"/>
              </w:rPr>
              <w:t>2015</w:t>
            </w:r>
          </w:p>
        </w:tc>
      </w:tr>
      <w:tr w:rsidR="00B55223" w:rsidRPr="009F29AD" w:rsidTr="000F6E3D">
        <w:trPr>
          <w:trHeight w:val="481"/>
        </w:trPr>
        <w:tc>
          <w:tcPr>
            <w:tcW w:w="486" w:type="dxa"/>
            <w:shd w:val="clear" w:color="auto" w:fill="auto"/>
            <w:hideMark/>
          </w:tcPr>
          <w:p w:rsidR="00697A63" w:rsidRPr="00697A63" w:rsidRDefault="00697A63" w:rsidP="00687C62">
            <w:pPr>
              <w:jc w:val="center"/>
              <w:rPr>
                <w:rFonts w:ascii="Times New Roman" w:hAnsi="Times New Roman"/>
                <w:sz w:val="20"/>
                <w:szCs w:val="20"/>
              </w:rPr>
            </w:pPr>
            <w:r w:rsidRPr="00697A63">
              <w:rPr>
                <w:rFonts w:ascii="Times New Roman" w:hAnsi="Times New Roman"/>
                <w:bCs/>
                <w:sz w:val="20"/>
                <w:szCs w:val="20"/>
              </w:rPr>
              <w:t>1</w:t>
            </w:r>
          </w:p>
        </w:tc>
        <w:tc>
          <w:tcPr>
            <w:tcW w:w="1592" w:type="dxa"/>
            <w:shd w:val="clear" w:color="auto" w:fill="auto"/>
            <w:hideMark/>
          </w:tcPr>
          <w:p w:rsidR="00697A63" w:rsidRPr="00697A63" w:rsidRDefault="00697A63" w:rsidP="00687C62">
            <w:pPr>
              <w:rPr>
                <w:rFonts w:ascii="Times New Roman" w:hAnsi="Times New Roman"/>
                <w:sz w:val="20"/>
                <w:szCs w:val="20"/>
              </w:rPr>
            </w:pPr>
            <w:r w:rsidRPr="00697A63">
              <w:rPr>
                <w:rFonts w:ascii="Times New Roman" w:hAnsi="Times New Roman"/>
                <w:bCs/>
                <w:sz w:val="20"/>
                <w:szCs w:val="20"/>
              </w:rPr>
              <w:t>ВЭПС всех модификаций</w:t>
            </w:r>
          </w:p>
        </w:tc>
        <w:tc>
          <w:tcPr>
            <w:tcW w:w="2033" w:type="dxa"/>
            <w:shd w:val="clear" w:color="auto" w:fill="auto"/>
            <w:hideMark/>
          </w:tcPr>
          <w:p w:rsidR="00697A63" w:rsidRPr="00697A63" w:rsidRDefault="00BA4514" w:rsidP="00687C62">
            <w:pPr>
              <w:jc w:val="center"/>
              <w:rPr>
                <w:rFonts w:ascii="Times New Roman" w:hAnsi="Times New Roman"/>
                <w:bCs/>
                <w:sz w:val="20"/>
                <w:szCs w:val="20"/>
              </w:rPr>
            </w:pPr>
            <w:r>
              <w:rPr>
                <w:rFonts w:ascii="Times New Roman" w:hAnsi="Times New Roman"/>
                <w:bCs/>
                <w:sz w:val="20"/>
                <w:szCs w:val="20"/>
              </w:rPr>
              <w:t>высокий</w:t>
            </w:r>
          </w:p>
        </w:tc>
        <w:tc>
          <w:tcPr>
            <w:tcW w:w="2023" w:type="dxa"/>
            <w:shd w:val="clear" w:color="auto" w:fill="auto"/>
            <w:hideMark/>
          </w:tcPr>
          <w:p w:rsidR="00697A63" w:rsidRPr="00697A63" w:rsidRDefault="00B55223" w:rsidP="00687C62">
            <w:pPr>
              <w:jc w:val="center"/>
              <w:rPr>
                <w:rFonts w:ascii="Times New Roman" w:hAnsi="Times New Roman"/>
                <w:bCs/>
                <w:sz w:val="20"/>
                <w:szCs w:val="20"/>
              </w:rPr>
            </w:pPr>
            <w:r>
              <w:rPr>
                <w:rFonts w:ascii="Times New Roman" w:hAnsi="Times New Roman"/>
                <w:bCs/>
                <w:sz w:val="20"/>
                <w:szCs w:val="20"/>
              </w:rPr>
              <w:t>Очень высокий</w:t>
            </w:r>
          </w:p>
        </w:tc>
        <w:tc>
          <w:tcPr>
            <w:tcW w:w="2088" w:type="dxa"/>
            <w:shd w:val="clear" w:color="auto" w:fill="auto"/>
            <w:hideMark/>
          </w:tcPr>
          <w:p w:rsidR="00697A63" w:rsidRPr="00697A63" w:rsidRDefault="00B55223" w:rsidP="00687C62">
            <w:pPr>
              <w:jc w:val="center"/>
              <w:rPr>
                <w:rFonts w:ascii="Times New Roman" w:hAnsi="Times New Roman"/>
                <w:bCs/>
                <w:sz w:val="20"/>
                <w:szCs w:val="20"/>
              </w:rPr>
            </w:pPr>
            <w:r>
              <w:rPr>
                <w:rFonts w:ascii="Times New Roman" w:hAnsi="Times New Roman"/>
                <w:bCs/>
                <w:sz w:val="20"/>
                <w:szCs w:val="20"/>
              </w:rPr>
              <w:t>Очень высокий</w:t>
            </w:r>
          </w:p>
        </w:tc>
        <w:tc>
          <w:tcPr>
            <w:tcW w:w="1134" w:type="dxa"/>
            <w:shd w:val="clear" w:color="auto" w:fill="auto"/>
            <w:hideMark/>
          </w:tcPr>
          <w:p w:rsidR="00697A63" w:rsidRPr="00697A63" w:rsidRDefault="00B55223" w:rsidP="00687C62">
            <w:pPr>
              <w:jc w:val="center"/>
              <w:rPr>
                <w:rFonts w:ascii="Times New Roman" w:hAnsi="Times New Roman"/>
                <w:bCs/>
                <w:sz w:val="20"/>
                <w:szCs w:val="20"/>
              </w:rPr>
            </w:pPr>
            <w:r>
              <w:rPr>
                <w:rFonts w:ascii="Times New Roman" w:hAnsi="Times New Roman"/>
                <w:bCs/>
                <w:sz w:val="20"/>
                <w:szCs w:val="20"/>
              </w:rPr>
              <w:t>Очень высокий</w:t>
            </w:r>
          </w:p>
        </w:tc>
        <w:tc>
          <w:tcPr>
            <w:tcW w:w="1134" w:type="dxa"/>
            <w:shd w:val="clear" w:color="auto" w:fill="auto"/>
            <w:hideMark/>
          </w:tcPr>
          <w:p w:rsidR="00697A63" w:rsidRPr="00697A63" w:rsidRDefault="00B55223" w:rsidP="00687C62">
            <w:pPr>
              <w:jc w:val="center"/>
              <w:rPr>
                <w:rFonts w:ascii="Times New Roman" w:hAnsi="Times New Roman"/>
                <w:bCs/>
                <w:sz w:val="20"/>
                <w:szCs w:val="20"/>
              </w:rPr>
            </w:pPr>
            <w:r>
              <w:rPr>
                <w:rFonts w:ascii="Times New Roman" w:hAnsi="Times New Roman"/>
                <w:bCs/>
                <w:sz w:val="20"/>
                <w:szCs w:val="20"/>
              </w:rPr>
              <w:t>Очень высокий</w:t>
            </w:r>
          </w:p>
        </w:tc>
      </w:tr>
      <w:tr w:rsidR="00B55223" w:rsidRPr="009F29AD" w:rsidTr="000F6E3D">
        <w:trPr>
          <w:trHeight w:val="258"/>
        </w:trPr>
        <w:tc>
          <w:tcPr>
            <w:tcW w:w="486" w:type="dxa"/>
            <w:shd w:val="clear" w:color="auto" w:fill="auto"/>
            <w:hideMark/>
          </w:tcPr>
          <w:p w:rsidR="00697A63" w:rsidRPr="00697A63" w:rsidRDefault="00697A63" w:rsidP="00687C62">
            <w:pPr>
              <w:jc w:val="center"/>
              <w:rPr>
                <w:rFonts w:ascii="Times New Roman" w:hAnsi="Times New Roman"/>
                <w:sz w:val="20"/>
                <w:szCs w:val="20"/>
              </w:rPr>
            </w:pPr>
            <w:r w:rsidRPr="00697A63">
              <w:rPr>
                <w:rFonts w:ascii="Times New Roman" w:hAnsi="Times New Roman"/>
                <w:bCs/>
                <w:sz w:val="20"/>
                <w:szCs w:val="20"/>
              </w:rPr>
              <w:t>2</w:t>
            </w:r>
          </w:p>
        </w:tc>
        <w:tc>
          <w:tcPr>
            <w:tcW w:w="1592" w:type="dxa"/>
            <w:shd w:val="clear" w:color="auto" w:fill="auto"/>
            <w:hideMark/>
          </w:tcPr>
          <w:p w:rsidR="00697A63" w:rsidRPr="00697A63" w:rsidRDefault="00697A63" w:rsidP="00687C62">
            <w:pPr>
              <w:rPr>
                <w:rFonts w:ascii="Times New Roman" w:hAnsi="Times New Roman"/>
                <w:sz w:val="20"/>
                <w:szCs w:val="20"/>
              </w:rPr>
            </w:pPr>
            <w:r w:rsidRPr="00697A63">
              <w:rPr>
                <w:rFonts w:ascii="Times New Roman" w:hAnsi="Times New Roman"/>
                <w:bCs/>
                <w:sz w:val="20"/>
                <w:szCs w:val="20"/>
              </w:rPr>
              <w:t>Прамер-550 фторопласт</w:t>
            </w:r>
          </w:p>
        </w:tc>
        <w:tc>
          <w:tcPr>
            <w:tcW w:w="2033" w:type="dxa"/>
            <w:shd w:val="clear" w:color="auto" w:fill="auto"/>
            <w:hideMark/>
          </w:tcPr>
          <w:p w:rsidR="00697A63" w:rsidRPr="00697A63" w:rsidRDefault="00BA4514" w:rsidP="00687C62">
            <w:pPr>
              <w:jc w:val="center"/>
              <w:rPr>
                <w:rFonts w:ascii="Times New Roman" w:hAnsi="Times New Roman"/>
                <w:bCs/>
                <w:sz w:val="20"/>
                <w:szCs w:val="20"/>
              </w:rPr>
            </w:pPr>
            <w:r>
              <w:rPr>
                <w:rFonts w:ascii="Times New Roman" w:hAnsi="Times New Roman"/>
                <w:bCs/>
                <w:sz w:val="20"/>
                <w:szCs w:val="20"/>
              </w:rPr>
              <w:t>высокий</w:t>
            </w:r>
          </w:p>
        </w:tc>
        <w:tc>
          <w:tcPr>
            <w:tcW w:w="2023" w:type="dxa"/>
            <w:shd w:val="clear" w:color="auto" w:fill="auto"/>
            <w:hideMark/>
          </w:tcPr>
          <w:p w:rsidR="00697A63" w:rsidRPr="00697A63" w:rsidRDefault="00CC2B9D" w:rsidP="00687C62">
            <w:pPr>
              <w:jc w:val="center"/>
              <w:rPr>
                <w:rFonts w:ascii="Times New Roman" w:hAnsi="Times New Roman"/>
                <w:bCs/>
                <w:sz w:val="20"/>
                <w:szCs w:val="20"/>
              </w:rPr>
            </w:pPr>
            <w:r>
              <w:rPr>
                <w:rFonts w:ascii="Times New Roman" w:hAnsi="Times New Roman"/>
                <w:bCs/>
                <w:sz w:val="20"/>
                <w:szCs w:val="20"/>
              </w:rPr>
              <w:t>достаточный</w:t>
            </w:r>
          </w:p>
        </w:tc>
        <w:tc>
          <w:tcPr>
            <w:tcW w:w="2088" w:type="dxa"/>
            <w:shd w:val="clear" w:color="auto" w:fill="auto"/>
            <w:hideMark/>
          </w:tcPr>
          <w:p w:rsidR="00697A63" w:rsidRPr="00697A63" w:rsidRDefault="00CC2B9D" w:rsidP="00687C62">
            <w:pPr>
              <w:jc w:val="center"/>
              <w:rPr>
                <w:rFonts w:ascii="Times New Roman" w:hAnsi="Times New Roman"/>
                <w:bCs/>
                <w:sz w:val="20"/>
                <w:szCs w:val="20"/>
              </w:rPr>
            </w:pPr>
            <w:r>
              <w:rPr>
                <w:rFonts w:ascii="Times New Roman" w:hAnsi="Times New Roman"/>
                <w:bCs/>
                <w:sz w:val="20"/>
                <w:szCs w:val="20"/>
              </w:rPr>
              <w:t>достаточный</w:t>
            </w:r>
          </w:p>
        </w:tc>
        <w:tc>
          <w:tcPr>
            <w:tcW w:w="1134" w:type="dxa"/>
            <w:shd w:val="clear" w:color="auto" w:fill="auto"/>
            <w:hideMark/>
          </w:tcPr>
          <w:p w:rsidR="00697A63" w:rsidRPr="00697A63" w:rsidRDefault="00B55223" w:rsidP="00687C62">
            <w:pPr>
              <w:jc w:val="center"/>
              <w:rPr>
                <w:rFonts w:ascii="Times New Roman" w:hAnsi="Times New Roman"/>
                <w:bCs/>
                <w:sz w:val="20"/>
                <w:szCs w:val="20"/>
              </w:rPr>
            </w:pPr>
            <w:r>
              <w:rPr>
                <w:rFonts w:ascii="Times New Roman" w:hAnsi="Times New Roman"/>
                <w:bCs/>
                <w:sz w:val="20"/>
                <w:szCs w:val="20"/>
              </w:rPr>
              <w:t>достаточный</w:t>
            </w:r>
          </w:p>
        </w:tc>
        <w:tc>
          <w:tcPr>
            <w:tcW w:w="1134" w:type="dxa"/>
            <w:shd w:val="clear" w:color="auto" w:fill="auto"/>
            <w:hideMark/>
          </w:tcPr>
          <w:p w:rsidR="00697A63" w:rsidRPr="00697A63" w:rsidRDefault="00B55223" w:rsidP="00687C62">
            <w:pPr>
              <w:jc w:val="center"/>
              <w:rPr>
                <w:rFonts w:ascii="Times New Roman" w:hAnsi="Times New Roman"/>
                <w:bCs/>
                <w:sz w:val="20"/>
                <w:szCs w:val="20"/>
              </w:rPr>
            </w:pPr>
            <w:r>
              <w:rPr>
                <w:rFonts w:ascii="Times New Roman" w:hAnsi="Times New Roman"/>
                <w:bCs/>
                <w:sz w:val="20"/>
                <w:szCs w:val="20"/>
              </w:rPr>
              <w:t>высокий</w:t>
            </w:r>
          </w:p>
        </w:tc>
      </w:tr>
      <w:tr w:rsidR="00B55223" w:rsidRPr="009F29AD" w:rsidTr="000F6E3D">
        <w:trPr>
          <w:trHeight w:val="264"/>
        </w:trPr>
        <w:tc>
          <w:tcPr>
            <w:tcW w:w="486" w:type="dxa"/>
            <w:shd w:val="clear" w:color="auto" w:fill="auto"/>
            <w:hideMark/>
          </w:tcPr>
          <w:p w:rsidR="00697A63" w:rsidRPr="00697A63" w:rsidRDefault="00697A63" w:rsidP="00687C62">
            <w:pPr>
              <w:jc w:val="center"/>
              <w:rPr>
                <w:rFonts w:ascii="Times New Roman" w:hAnsi="Times New Roman"/>
                <w:sz w:val="20"/>
                <w:szCs w:val="20"/>
              </w:rPr>
            </w:pPr>
            <w:r w:rsidRPr="00697A63">
              <w:rPr>
                <w:rFonts w:ascii="Times New Roman" w:hAnsi="Times New Roman"/>
                <w:bCs/>
                <w:sz w:val="20"/>
                <w:szCs w:val="20"/>
              </w:rPr>
              <w:lastRenderedPageBreak/>
              <w:t>3</w:t>
            </w:r>
          </w:p>
        </w:tc>
        <w:tc>
          <w:tcPr>
            <w:tcW w:w="1592" w:type="dxa"/>
            <w:shd w:val="clear" w:color="auto" w:fill="auto"/>
            <w:hideMark/>
          </w:tcPr>
          <w:p w:rsidR="00697A63" w:rsidRPr="00697A63" w:rsidRDefault="00697A63" w:rsidP="00687C62">
            <w:pPr>
              <w:rPr>
                <w:rFonts w:ascii="Times New Roman" w:hAnsi="Times New Roman"/>
                <w:sz w:val="20"/>
                <w:szCs w:val="20"/>
              </w:rPr>
            </w:pPr>
            <w:r w:rsidRPr="00697A63">
              <w:rPr>
                <w:rFonts w:ascii="Times New Roman" w:hAnsi="Times New Roman"/>
                <w:bCs/>
                <w:sz w:val="20"/>
                <w:szCs w:val="20"/>
              </w:rPr>
              <w:t>Прамер-510</w:t>
            </w:r>
          </w:p>
        </w:tc>
        <w:tc>
          <w:tcPr>
            <w:tcW w:w="2033" w:type="dxa"/>
            <w:shd w:val="clear" w:color="auto" w:fill="auto"/>
            <w:hideMark/>
          </w:tcPr>
          <w:p w:rsidR="00697A63" w:rsidRPr="00697A63" w:rsidRDefault="000F6E3D" w:rsidP="00687C62">
            <w:pPr>
              <w:jc w:val="center"/>
              <w:rPr>
                <w:rFonts w:ascii="Times New Roman" w:hAnsi="Times New Roman"/>
                <w:bCs/>
                <w:sz w:val="20"/>
                <w:szCs w:val="20"/>
              </w:rPr>
            </w:pPr>
            <w:r>
              <w:rPr>
                <w:rFonts w:ascii="Times New Roman" w:hAnsi="Times New Roman"/>
                <w:bCs/>
                <w:sz w:val="20"/>
                <w:szCs w:val="20"/>
              </w:rPr>
              <w:t>удовлетворительный</w:t>
            </w:r>
          </w:p>
        </w:tc>
        <w:tc>
          <w:tcPr>
            <w:tcW w:w="2023" w:type="dxa"/>
            <w:shd w:val="clear" w:color="auto" w:fill="auto"/>
            <w:hideMark/>
          </w:tcPr>
          <w:p w:rsidR="00697A63" w:rsidRPr="00697A63" w:rsidRDefault="00B55223" w:rsidP="00687C62">
            <w:pPr>
              <w:jc w:val="center"/>
              <w:rPr>
                <w:rFonts w:ascii="Times New Roman" w:hAnsi="Times New Roman"/>
                <w:bCs/>
                <w:sz w:val="20"/>
                <w:szCs w:val="20"/>
              </w:rPr>
            </w:pPr>
            <w:r>
              <w:rPr>
                <w:rFonts w:ascii="Times New Roman" w:hAnsi="Times New Roman"/>
                <w:bCs/>
                <w:sz w:val="20"/>
                <w:szCs w:val="20"/>
              </w:rPr>
              <w:t>удовлетворительный</w:t>
            </w:r>
          </w:p>
        </w:tc>
        <w:tc>
          <w:tcPr>
            <w:tcW w:w="2088" w:type="dxa"/>
            <w:shd w:val="clear" w:color="auto" w:fill="auto"/>
            <w:hideMark/>
          </w:tcPr>
          <w:p w:rsidR="00697A63" w:rsidRPr="00697A63" w:rsidRDefault="00B55223" w:rsidP="00687C62">
            <w:pPr>
              <w:jc w:val="center"/>
              <w:rPr>
                <w:rFonts w:ascii="Times New Roman" w:hAnsi="Times New Roman"/>
                <w:bCs/>
                <w:sz w:val="20"/>
                <w:szCs w:val="20"/>
              </w:rPr>
            </w:pPr>
            <w:r>
              <w:rPr>
                <w:rFonts w:ascii="Times New Roman" w:hAnsi="Times New Roman"/>
                <w:bCs/>
                <w:sz w:val="20"/>
                <w:szCs w:val="20"/>
              </w:rPr>
              <w:t>высокий</w:t>
            </w:r>
          </w:p>
        </w:tc>
        <w:tc>
          <w:tcPr>
            <w:tcW w:w="1134" w:type="dxa"/>
            <w:shd w:val="clear" w:color="auto" w:fill="auto"/>
            <w:hideMark/>
          </w:tcPr>
          <w:p w:rsidR="00697A63" w:rsidRPr="00697A63" w:rsidRDefault="00B55223" w:rsidP="00687C62">
            <w:pPr>
              <w:jc w:val="center"/>
              <w:rPr>
                <w:rFonts w:ascii="Times New Roman" w:hAnsi="Times New Roman"/>
                <w:bCs/>
                <w:sz w:val="20"/>
                <w:szCs w:val="20"/>
              </w:rPr>
            </w:pPr>
            <w:r>
              <w:rPr>
                <w:rFonts w:ascii="Times New Roman" w:hAnsi="Times New Roman"/>
                <w:bCs/>
                <w:sz w:val="20"/>
                <w:szCs w:val="20"/>
              </w:rPr>
              <w:t>высокий</w:t>
            </w:r>
          </w:p>
        </w:tc>
        <w:tc>
          <w:tcPr>
            <w:tcW w:w="1134" w:type="dxa"/>
            <w:shd w:val="clear" w:color="auto" w:fill="auto"/>
            <w:hideMark/>
          </w:tcPr>
          <w:p w:rsidR="00697A63" w:rsidRPr="00697A63" w:rsidRDefault="00B55223" w:rsidP="00687C62">
            <w:pPr>
              <w:jc w:val="center"/>
              <w:rPr>
                <w:rFonts w:ascii="Times New Roman" w:hAnsi="Times New Roman"/>
                <w:bCs/>
                <w:sz w:val="20"/>
                <w:szCs w:val="20"/>
              </w:rPr>
            </w:pPr>
            <w:r>
              <w:rPr>
                <w:rFonts w:ascii="Times New Roman" w:hAnsi="Times New Roman"/>
                <w:bCs/>
                <w:sz w:val="20"/>
                <w:szCs w:val="20"/>
              </w:rPr>
              <w:t>высокий</w:t>
            </w:r>
          </w:p>
        </w:tc>
      </w:tr>
      <w:tr w:rsidR="00B55223" w:rsidRPr="009F29AD" w:rsidTr="000F6E3D">
        <w:trPr>
          <w:trHeight w:val="252"/>
        </w:trPr>
        <w:tc>
          <w:tcPr>
            <w:tcW w:w="486" w:type="dxa"/>
            <w:shd w:val="clear" w:color="auto" w:fill="auto"/>
            <w:hideMark/>
          </w:tcPr>
          <w:p w:rsidR="00697A63" w:rsidRPr="00697A63" w:rsidRDefault="00697A63" w:rsidP="00687C62">
            <w:pPr>
              <w:jc w:val="center"/>
              <w:rPr>
                <w:rFonts w:ascii="Times New Roman" w:hAnsi="Times New Roman"/>
                <w:sz w:val="20"/>
                <w:szCs w:val="20"/>
              </w:rPr>
            </w:pPr>
            <w:r w:rsidRPr="00697A63">
              <w:rPr>
                <w:rFonts w:ascii="Times New Roman" w:hAnsi="Times New Roman"/>
                <w:bCs/>
                <w:sz w:val="20"/>
                <w:szCs w:val="20"/>
              </w:rPr>
              <w:t>4</w:t>
            </w:r>
          </w:p>
        </w:tc>
        <w:tc>
          <w:tcPr>
            <w:tcW w:w="1592" w:type="dxa"/>
            <w:shd w:val="clear" w:color="auto" w:fill="auto"/>
            <w:hideMark/>
          </w:tcPr>
          <w:p w:rsidR="00697A63" w:rsidRPr="00697A63" w:rsidRDefault="0067710C" w:rsidP="00687C62">
            <w:pPr>
              <w:rPr>
                <w:rFonts w:ascii="Times New Roman" w:hAnsi="Times New Roman"/>
                <w:sz w:val="20"/>
                <w:szCs w:val="20"/>
              </w:rPr>
            </w:pPr>
            <w:r>
              <w:rPr>
                <w:rFonts w:ascii="Times New Roman" w:hAnsi="Times New Roman"/>
                <w:bCs/>
                <w:sz w:val="20"/>
                <w:szCs w:val="20"/>
              </w:rPr>
              <w:t>ПРАМЕР</w:t>
            </w:r>
            <w:r w:rsidR="00697A63" w:rsidRPr="00697A63">
              <w:rPr>
                <w:rFonts w:ascii="Times New Roman" w:hAnsi="Times New Roman"/>
                <w:bCs/>
                <w:sz w:val="20"/>
                <w:szCs w:val="20"/>
              </w:rPr>
              <w:t>-710</w:t>
            </w:r>
            <w:r>
              <w:rPr>
                <w:rFonts w:ascii="Times New Roman" w:hAnsi="Times New Roman"/>
                <w:bCs/>
                <w:sz w:val="20"/>
                <w:szCs w:val="20"/>
              </w:rPr>
              <w:t>-1</w:t>
            </w:r>
          </w:p>
        </w:tc>
        <w:tc>
          <w:tcPr>
            <w:tcW w:w="2033" w:type="dxa"/>
            <w:shd w:val="clear" w:color="auto" w:fill="auto"/>
            <w:hideMark/>
          </w:tcPr>
          <w:p w:rsidR="00697A63" w:rsidRPr="00697A63" w:rsidRDefault="00BA4514" w:rsidP="00687C62">
            <w:pPr>
              <w:jc w:val="center"/>
              <w:rPr>
                <w:rFonts w:ascii="Times New Roman" w:hAnsi="Times New Roman"/>
                <w:bCs/>
                <w:sz w:val="20"/>
                <w:szCs w:val="20"/>
              </w:rPr>
            </w:pPr>
            <w:r>
              <w:rPr>
                <w:rFonts w:ascii="Times New Roman" w:hAnsi="Times New Roman"/>
                <w:bCs/>
                <w:sz w:val="20"/>
                <w:szCs w:val="20"/>
              </w:rPr>
              <w:t>удовлетворительный</w:t>
            </w:r>
          </w:p>
        </w:tc>
        <w:tc>
          <w:tcPr>
            <w:tcW w:w="2023" w:type="dxa"/>
            <w:shd w:val="clear" w:color="auto" w:fill="auto"/>
            <w:hideMark/>
          </w:tcPr>
          <w:p w:rsidR="00697A63" w:rsidRPr="00697A63" w:rsidRDefault="00B55223" w:rsidP="00687C62">
            <w:pPr>
              <w:jc w:val="center"/>
              <w:rPr>
                <w:rFonts w:ascii="Times New Roman" w:hAnsi="Times New Roman"/>
                <w:bCs/>
                <w:sz w:val="20"/>
                <w:szCs w:val="20"/>
              </w:rPr>
            </w:pPr>
            <w:r>
              <w:rPr>
                <w:rFonts w:ascii="Times New Roman" w:hAnsi="Times New Roman"/>
                <w:bCs/>
                <w:sz w:val="20"/>
                <w:szCs w:val="20"/>
              </w:rPr>
              <w:t>удовлетворительный</w:t>
            </w:r>
          </w:p>
        </w:tc>
        <w:tc>
          <w:tcPr>
            <w:tcW w:w="2088" w:type="dxa"/>
            <w:shd w:val="clear" w:color="auto" w:fill="auto"/>
            <w:hideMark/>
          </w:tcPr>
          <w:p w:rsidR="00697A63" w:rsidRPr="00697A63" w:rsidRDefault="00B55223" w:rsidP="00687C62">
            <w:pPr>
              <w:jc w:val="center"/>
              <w:rPr>
                <w:rFonts w:ascii="Times New Roman" w:hAnsi="Times New Roman"/>
                <w:bCs/>
                <w:sz w:val="20"/>
                <w:szCs w:val="20"/>
              </w:rPr>
            </w:pPr>
            <w:r>
              <w:rPr>
                <w:rFonts w:ascii="Times New Roman" w:hAnsi="Times New Roman"/>
                <w:bCs/>
                <w:sz w:val="20"/>
                <w:szCs w:val="20"/>
              </w:rPr>
              <w:t>достаточный</w:t>
            </w:r>
          </w:p>
        </w:tc>
        <w:tc>
          <w:tcPr>
            <w:tcW w:w="1134" w:type="dxa"/>
            <w:shd w:val="clear" w:color="auto" w:fill="auto"/>
            <w:hideMark/>
          </w:tcPr>
          <w:p w:rsidR="00697A63" w:rsidRPr="00697A63" w:rsidRDefault="00B55223" w:rsidP="00687C62">
            <w:pPr>
              <w:jc w:val="center"/>
              <w:rPr>
                <w:rFonts w:ascii="Times New Roman" w:hAnsi="Times New Roman"/>
                <w:bCs/>
                <w:sz w:val="20"/>
                <w:szCs w:val="20"/>
              </w:rPr>
            </w:pPr>
            <w:r>
              <w:rPr>
                <w:rFonts w:ascii="Times New Roman" w:hAnsi="Times New Roman"/>
                <w:bCs/>
                <w:sz w:val="20"/>
                <w:szCs w:val="20"/>
              </w:rPr>
              <w:t>высокий</w:t>
            </w:r>
          </w:p>
        </w:tc>
        <w:tc>
          <w:tcPr>
            <w:tcW w:w="1134" w:type="dxa"/>
            <w:shd w:val="clear" w:color="auto" w:fill="auto"/>
            <w:hideMark/>
          </w:tcPr>
          <w:p w:rsidR="00697A63" w:rsidRPr="00697A63" w:rsidRDefault="00B55223" w:rsidP="00687C62">
            <w:pPr>
              <w:jc w:val="center"/>
              <w:rPr>
                <w:rFonts w:ascii="Times New Roman" w:hAnsi="Times New Roman"/>
                <w:bCs/>
                <w:sz w:val="20"/>
                <w:szCs w:val="20"/>
              </w:rPr>
            </w:pPr>
            <w:r>
              <w:rPr>
                <w:rFonts w:ascii="Times New Roman" w:hAnsi="Times New Roman"/>
                <w:bCs/>
                <w:sz w:val="20"/>
                <w:szCs w:val="20"/>
              </w:rPr>
              <w:t>высокий</w:t>
            </w:r>
          </w:p>
        </w:tc>
      </w:tr>
      <w:tr w:rsidR="00B55223" w:rsidRPr="009F29AD" w:rsidTr="000F6E3D">
        <w:trPr>
          <w:trHeight w:val="129"/>
        </w:trPr>
        <w:tc>
          <w:tcPr>
            <w:tcW w:w="486" w:type="dxa"/>
            <w:shd w:val="clear" w:color="auto" w:fill="auto"/>
            <w:hideMark/>
          </w:tcPr>
          <w:p w:rsidR="00697A63" w:rsidRPr="00697A63" w:rsidRDefault="00697A63" w:rsidP="00687C62">
            <w:pPr>
              <w:jc w:val="center"/>
              <w:rPr>
                <w:rFonts w:ascii="Times New Roman" w:hAnsi="Times New Roman"/>
                <w:sz w:val="20"/>
                <w:szCs w:val="20"/>
              </w:rPr>
            </w:pPr>
            <w:r w:rsidRPr="00697A63">
              <w:rPr>
                <w:rFonts w:ascii="Times New Roman" w:hAnsi="Times New Roman"/>
                <w:bCs/>
                <w:sz w:val="20"/>
                <w:szCs w:val="20"/>
              </w:rPr>
              <w:t>5</w:t>
            </w:r>
          </w:p>
        </w:tc>
        <w:tc>
          <w:tcPr>
            <w:tcW w:w="1592" w:type="dxa"/>
            <w:shd w:val="clear" w:color="auto" w:fill="auto"/>
            <w:hideMark/>
          </w:tcPr>
          <w:p w:rsidR="00697A63" w:rsidRPr="00697A63" w:rsidRDefault="00697A63" w:rsidP="00687C62">
            <w:pPr>
              <w:rPr>
                <w:rFonts w:ascii="Times New Roman" w:hAnsi="Times New Roman"/>
                <w:sz w:val="20"/>
                <w:szCs w:val="20"/>
              </w:rPr>
            </w:pPr>
            <w:r w:rsidRPr="00697A63">
              <w:rPr>
                <w:rFonts w:ascii="Times New Roman" w:hAnsi="Times New Roman"/>
                <w:bCs/>
                <w:sz w:val="20"/>
                <w:szCs w:val="20"/>
              </w:rPr>
              <w:t>БП</w:t>
            </w:r>
            <w:r w:rsidR="00BA4514">
              <w:rPr>
                <w:rFonts w:ascii="Times New Roman" w:hAnsi="Times New Roman"/>
                <w:bCs/>
                <w:sz w:val="20"/>
                <w:szCs w:val="20"/>
              </w:rPr>
              <w:t>-2-12В</w:t>
            </w:r>
          </w:p>
        </w:tc>
        <w:tc>
          <w:tcPr>
            <w:tcW w:w="2033" w:type="dxa"/>
            <w:shd w:val="clear" w:color="auto" w:fill="auto"/>
            <w:hideMark/>
          </w:tcPr>
          <w:p w:rsidR="00697A63" w:rsidRPr="00697A63" w:rsidRDefault="00B55223" w:rsidP="00687C62">
            <w:pPr>
              <w:jc w:val="center"/>
              <w:rPr>
                <w:rFonts w:ascii="Times New Roman" w:hAnsi="Times New Roman"/>
                <w:bCs/>
                <w:sz w:val="20"/>
                <w:szCs w:val="20"/>
              </w:rPr>
            </w:pPr>
            <w:r>
              <w:rPr>
                <w:rFonts w:ascii="Times New Roman" w:hAnsi="Times New Roman"/>
                <w:bCs/>
                <w:sz w:val="20"/>
                <w:szCs w:val="20"/>
              </w:rPr>
              <w:t>высокий</w:t>
            </w:r>
          </w:p>
        </w:tc>
        <w:tc>
          <w:tcPr>
            <w:tcW w:w="2023" w:type="dxa"/>
            <w:shd w:val="clear" w:color="auto" w:fill="auto"/>
            <w:hideMark/>
          </w:tcPr>
          <w:p w:rsidR="00697A63" w:rsidRPr="00697A63" w:rsidRDefault="00B55223" w:rsidP="00687C62">
            <w:pPr>
              <w:jc w:val="center"/>
              <w:rPr>
                <w:rFonts w:ascii="Times New Roman" w:hAnsi="Times New Roman"/>
                <w:bCs/>
                <w:sz w:val="20"/>
                <w:szCs w:val="20"/>
              </w:rPr>
            </w:pPr>
            <w:r>
              <w:rPr>
                <w:rFonts w:ascii="Times New Roman" w:hAnsi="Times New Roman"/>
                <w:bCs/>
                <w:sz w:val="20"/>
                <w:szCs w:val="20"/>
              </w:rPr>
              <w:t>Очень высокий</w:t>
            </w:r>
          </w:p>
        </w:tc>
        <w:tc>
          <w:tcPr>
            <w:tcW w:w="2088" w:type="dxa"/>
            <w:shd w:val="clear" w:color="auto" w:fill="auto"/>
            <w:hideMark/>
          </w:tcPr>
          <w:p w:rsidR="00697A63" w:rsidRPr="00697A63" w:rsidRDefault="00B55223" w:rsidP="00687C62">
            <w:pPr>
              <w:jc w:val="center"/>
              <w:rPr>
                <w:rFonts w:ascii="Times New Roman" w:hAnsi="Times New Roman"/>
                <w:bCs/>
                <w:sz w:val="20"/>
                <w:szCs w:val="20"/>
              </w:rPr>
            </w:pPr>
            <w:r>
              <w:rPr>
                <w:rFonts w:ascii="Times New Roman" w:hAnsi="Times New Roman"/>
                <w:bCs/>
                <w:sz w:val="20"/>
                <w:szCs w:val="20"/>
              </w:rPr>
              <w:t>Очень высокий</w:t>
            </w:r>
          </w:p>
        </w:tc>
        <w:tc>
          <w:tcPr>
            <w:tcW w:w="1134" w:type="dxa"/>
            <w:shd w:val="clear" w:color="auto" w:fill="auto"/>
            <w:hideMark/>
          </w:tcPr>
          <w:p w:rsidR="00697A63" w:rsidRPr="00697A63" w:rsidRDefault="00B55223" w:rsidP="00687C62">
            <w:pPr>
              <w:tabs>
                <w:tab w:val="center" w:pos="388"/>
              </w:tabs>
              <w:jc w:val="center"/>
              <w:rPr>
                <w:rFonts w:ascii="Times New Roman" w:hAnsi="Times New Roman"/>
                <w:bCs/>
                <w:sz w:val="20"/>
                <w:szCs w:val="20"/>
              </w:rPr>
            </w:pPr>
            <w:r>
              <w:rPr>
                <w:rFonts w:ascii="Times New Roman" w:hAnsi="Times New Roman"/>
                <w:bCs/>
                <w:sz w:val="20"/>
                <w:szCs w:val="20"/>
              </w:rPr>
              <w:t>Очень высокий</w:t>
            </w:r>
          </w:p>
        </w:tc>
        <w:tc>
          <w:tcPr>
            <w:tcW w:w="1134" w:type="dxa"/>
            <w:shd w:val="clear" w:color="auto" w:fill="auto"/>
            <w:hideMark/>
          </w:tcPr>
          <w:p w:rsidR="00697A63" w:rsidRPr="00697A63" w:rsidRDefault="00B55223" w:rsidP="00687C62">
            <w:pPr>
              <w:tabs>
                <w:tab w:val="center" w:pos="388"/>
              </w:tabs>
              <w:jc w:val="center"/>
              <w:rPr>
                <w:rFonts w:ascii="Times New Roman" w:hAnsi="Times New Roman"/>
                <w:bCs/>
                <w:sz w:val="20"/>
                <w:szCs w:val="20"/>
              </w:rPr>
            </w:pPr>
            <w:r>
              <w:rPr>
                <w:rFonts w:ascii="Times New Roman" w:hAnsi="Times New Roman"/>
                <w:bCs/>
                <w:sz w:val="20"/>
                <w:szCs w:val="20"/>
              </w:rPr>
              <w:t>Очень высокий</w:t>
            </w:r>
          </w:p>
        </w:tc>
      </w:tr>
      <w:tr w:rsidR="00B55223" w:rsidRPr="009F29AD" w:rsidTr="000F6E3D">
        <w:trPr>
          <w:trHeight w:val="315"/>
        </w:trPr>
        <w:tc>
          <w:tcPr>
            <w:tcW w:w="486" w:type="dxa"/>
            <w:shd w:val="clear" w:color="auto" w:fill="auto"/>
            <w:hideMark/>
          </w:tcPr>
          <w:p w:rsidR="00697A63" w:rsidRPr="00697A63" w:rsidRDefault="00697A63" w:rsidP="00687C62">
            <w:pPr>
              <w:jc w:val="center"/>
              <w:rPr>
                <w:rFonts w:ascii="Times New Roman" w:hAnsi="Times New Roman"/>
                <w:sz w:val="20"/>
                <w:szCs w:val="20"/>
              </w:rPr>
            </w:pPr>
            <w:r w:rsidRPr="00697A63">
              <w:rPr>
                <w:rFonts w:ascii="Times New Roman" w:hAnsi="Times New Roman"/>
                <w:bCs/>
                <w:sz w:val="20"/>
                <w:szCs w:val="20"/>
              </w:rPr>
              <w:t>6</w:t>
            </w:r>
          </w:p>
        </w:tc>
        <w:tc>
          <w:tcPr>
            <w:tcW w:w="1592" w:type="dxa"/>
            <w:shd w:val="clear" w:color="auto" w:fill="auto"/>
            <w:hideMark/>
          </w:tcPr>
          <w:p w:rsidR="00697A63" w:rsidRPr="00697A63" w:rsidRDefault="00697A63" w:rsidP="00687C62">
            <w:pPr>
              <w:rPr>
                <w:rFonts w:ascii="Times New Roman" w:hAnsi="Times New Roman"/>
                <w:sz w:val="20"/>
                <w:szCs w:val="20"/>
              </w:rPr>
            </w:pPr>
            <w:r w:rsidRPr="00697A63">
              <w:rPr>
                <w:rFonts w:ascii="Times New Roman" w:hAnsi="Times New Roman"/>
                <w:bCs/>
                <w:sz w:val="20"/>
                <w:szCs w:val="20"/>
              </w:rPr>
              <w:t>БАРС-02</w:t>
            </w:r>
          </w:p>
        </w:tc>
        <w:tc>
          <w:tcPr>
            <w:tcW w:w="2033" w:type="dxa"/>
            <w:shd w:val="clear" w:color="auto" w:fill="auto"/>
            <w:hideMark/>
          </w:tcPr>
          <w:p w:rsidR="00697A63" w:rsidRPr="00697A63" w:rsidRDefault="00B55223" w:rsidP="00687C62">
            <w:pPr>
              <w:jc w:val="center"/>
              <w:rPr>
                <w:rFonts w:ascii="Times New Roman" w:hAnsi="Times New Roman"/>
                <w:bCs/>
                <w:sz w:val="20"/>
                <w:szCs w:val="20"/>
              </w:rPr>
            </w:pPr>
            <w:r>
              <w:rPr>
                <w:rFonts w:ascii="Times New Roman" w:hAnsi="Times New Roman"/>
                <w:bCs/>
                <w:sz w:val="20"/>
                <w:szCs w:val="20"/>
              </w:rPr>
              <w:t>удовлетворительный</w:t>
            </w:r>
          </w:p>
        </w:tc>
        <w:tc>
          <w:tcPr>
            <w:tcW w:w="2023" w:type="dxa"/>
            <w:shd w:val="clear" w:color="auto" w:fill="auto"/>
            <w:hideMark/>
          </w:tcPr>
          <w:p w:rsidR="00697A63" w:rsidRPr="00697A63" w:rsidRDefault="000F6E3D" w:rsidP="00687C62">
            <w:pPr>
              <w:jc w:val="center"/>
              <w:rPr>
                <w:rFonts w:ascii="Times New Roman" w:hAnsi="Times New Roman"/>
                <w:bCs/>
                <w:sz w:val="20"/>
                <w:szCs w:val="20"/>
              </w:rPr>
            </w:pPr>
            <w:r>
              <w:rPr>
                <w:rFonts w:ascii="Times New Roman" w:hAnsi="Times New Roman"/>
                <w:bCs/>
                <w:sz w:val="20"/>
                <w:szCs w:val="20"/>
              </w:rPr>
              <w:t>удовлетворительный</w:t>
            </w:r>
          </w:p>
        </w:tc>
        <w:tc>
          <w:tcPr>
            <w:tcW w:w="2088" w:type="dxa"/>
            <w:shd w:val="clear" w:color="auto" w:fill="auto"/>
            <w:hideMark/>
          </w:tcPr>
          <w:p w:rsidR="00697A63" w:rsidRPr="00697A63" w:rsidRDefault="00CC2B9D" w:rsidP="00687C62">
            <w:pPr>
              <w:jc w:val="center"/>
              <w:rPr>
                <w:rFonts w:ascii="Times New Roman" w:hAnsi="Times New Roman"/>
                <w:bCs/>
                <w:sz w:val="20"/>
                <w:szCs w:val="20"/>
              </w:rPr>
            </w:pPr>
            <w:r>
              <w:rPr>
                <w:rFonts w:ascii="Times New Roman" w:hAnsi="Times New Roman"/>
                <w:bCs/>
                <w:sz w:val="20"/>
                <w:szCs w:val="20"/>
              </w:rPr>
              <w:t>достаточный</w:t>
            </w:r>
          </w:p>
        </w:tc>
        <w:tc>
          <w:tcPr>
            <w:tcW w:w="1134" w:type="dxa"/>
            <w:shd w:val="clear" w:color="auto" w:fill="auto"/>
            <w:hideMark/>
          </w:tcPr>
          <w:p w:rsidR="00697A63" w:rsidRPr="00697A63" w:rsidRDefault="000F6E3D" w:rsidP="00687C62">
            <w:pPr>
              <w:jc w:val="center"/>
              <w:rPr>
                <w:rFonts w:ascii="Times New Roman" w:hAnsi="Times New Roman"/>
                <w:bCs/>
                <w:sz w:val="20"/>
                <w:szCs w:val="20"/>
              </w:rPr>
            </w:pPr>
            <w:r>
              <w:rPr>
                <w:rFonts w:ascii="Times New Roman" w:hAnsi="Times New Roman"/>
                <w:bCs/>
                <w:sz w:val="20"/>
                <w:szCs w:val="20"/>
              </w:rPr>
              <w:t>высокий</w:t>
            </w:r>
          </w:p>
        </w:tc>
        <w:tc>
          <w:tcPr>
            <w:tcW w:w="1134" w:type="dxa"/>
            <w:shd w:val="clear" w:color="auto" w:fill="auto"/>
            <w:hideMark/>
          </w:tcPr>
          <w:p w:rsidR="00697A63" w:rsidRPr="00697A63" w:rsidRDefault="000F6E3D" w:rsidP="00687C62">
            <w:pPr>
              <w:jc w:val="center"/>
              <w:rPr>
                <w:rFonts w:ascii="Times New Roman" w:hAnsi="Times New Roman"/>
                <w:bCs/>
                <w:sz w:val="20"/>
                <w:szCs w:val="20"/>
              </w:rPr>
            </w:pPr>
            <w:r>
              <w:rPr>
                <w:rFonts w:ascii="Times New Roman" w:hAnsi="Times New Roman"/>
                <w:bCs/>
                <w:sz w:val="20"/>
                <w:szCs w:val="20"/>
              </w:rPr>
              <w:t>высокий</w:t>
            </w:r>
          </w:p>
        </w:tc>
      </w:tr>
    </w:tbl>
    <w:p w:rsidR="008332F3" w:rsidRPr="001D5231" w:rsidRDefault="002169D5" w:rsidP="00180575">
      <w:pPr>
        <w:pStyle w:val="ab"/>
        <w:spacing w:after="0" w:line="240" w:lineRule="auto"/>
        <w:ind w:left="0" w:firstLine="709"/>
        <w:jc w:val="both"/>
        <w:rPr>
          <w:rFonts w:ascii="Times New Roman" w:hAnsi="Times New Roman"/>
        </w:rPr>
      </w:pPr>
      <w:r w:rsidRPr="001D5231">
        <w:rPr>
          <w:rFonts w:ascii="Times New Roman" w:hAnsi="Times New Roman"/>
        </w:rPr>
        <w:t>Показ</w:t>
      </w:r>
      <w:r w:rsidR="00180575">
        <w:rPr>
          <w:rFonts w:ascii="Times New Roman" w:hAnsi="Times New Roman"/>
        </w:rPr>
        <w:t>атели</w:t>
      </w:r>
      <w:r w:rsidRPr="001D5231">
        <w:rPr>
          <w:rFonts w:ascii="Times New Roman" w:hAnsi="Times New Roman"/>
        </w:rPr>
        <w:t xml:space="preserve"> качества и надежност</w:t>
      </w:r>
      <w:r w:rsidR="00180575">
        <w:rPr>
          <w:rFonts w:ascii="Times New Roman" w:hAnsi="Times New Roman"/>
        </w:rPr>
        <w:t>и</w:t>
      </w:r>
      <w:r w:rsidRPr="001D5231">
        <w:rPr>
          <w:rFonts w:ascii="Times New Roman" w:hAnsi="Times New Roman"/>
        </w:rPr>
        <w:t xml:space="preserve"> вихревого преобразователя расхода ВЭПС из года в год держ</w:t>
      </w:r>
      <w:r w:rsidR="00180575">
        <w:rPr>
          <w:rFonts w:ascii="Times New Roman" w:hAnsi="Times New Roman"/>
        </w:rPr>
        <w:t>а</w:t>
      </w:r>
      <w:r w:rsidRPr="001D5231">
        <w:rPr>
          <w:rFonts w:ascii="Times New Roman" w:hAnsi="Times New Roman"/>
        </w:rPr>
        <w:t xml:space="preserve">тся на </w:t>
      </w:r>
      <w:r w:rsidR="00180575">
        <w:rPr>
          <w:rFonts w:ascii="Times New Roman" w:hAnsi="Times New Roman"/>
        </w:rPr>
        <w:t>«</w:t>
      </w:r>
      <w:r w:rsidRPr="001D5231">
        <w:rPr>
          <w:rFonts w:ascii="Times New Roman" w:hAnsi="Times New Roman"/>
        </w:rPr>
        <w:t>очень высоком</w:t>
      </w:r>
      <w:r w:rsidR="00180575">
        <w:rPr>
          <w:rFonts w:ascii="Times New Roman" w:hAnsi="Times New Roman"/>
        </w:rPr>
        <w:t>»</w:t>
      </w:r>
      <w:r w:rsidRPr="001D5231">
        <w:rPr>
          <w:rFonts w:ascii="Times New Roman" w:hAnsi="Times New Roman"/>
        </w:rPr>
        <w:t xml:space="preserve"> уровне. </w:t>
      </w:r>
    </w:p>
    <w:p w:rsidR="008332F3" w:rsidRPr="001D5231" w:rsidRDefault="008332F3" w:rsidP="00180575">
      <w:pPr>
        <w:pStyle w:val="ab"/>
        <w:spacing w:after="0" w:line="240" w:lineRule="auto"/>
        <w:ind w:left="0" w:firstLine="709"/>
        <w:jc w:val="both"/>
        <w:rPr>
          <w:rFonts w:ascii="Times New Roman" w:hAnsi="Times New Roman"/>
        </w:rPr>
      </w:pPr>
      <w:r w:rsidRPr="001D5231">
        <w:rPr>
          <w:rFonts w:ascii="Times New Roman" w:hAnsi="Times New Roman"/>
        </w:rPr>
        <w:t>Процент отказ</w:t>
      </w:r>
      <w:r w:rsidR="00180575">
        <w:rPr>
          <w:rFonts w:ascii="Times New Roman" w:hAnsi="Times New Roman"/>
        </w:rPr>
        <w:t>ов</w:t>
      </w:r>
      <w:r w:rsidRPr="001D5231">
        <w:rPr>
          <w:rFonts w:ascii="Times New Roman" w:hAnsi="Times New Roman"/>
        </w:rPr>
        <w:t xml:space="preserve"> в 2015 г. преобразователей расхода ВЭПС, находящихся на гарантийном сроке эксплуатации, составил </w:t>
      </w:r>
      <w:r w:rsidRPr="001D5231">
        <w:rPr>
          <w:rFonts w:ascii="Times New Roman" w:hAnsi="Times New Roman"/>
          <w:bCs/>
        </w:rPr>
        <w:t>менее 0,1%</w:t>
      </w:r>
      <w:r w:rsidRPr="001D5231">
        <w:rPr>
          <w:rFonts w:ascii="Times New Roman" w:hAnsi="Times New Roman"/>
        </w:rPr>
        <w:t xml:space="preserve"> в общем объеме продаж за гарантийный интервал 4 года.</w:t>
      </w:r>
      <w:r w:rsidR="00180575">
        <w:rPr>
          <w:rFonts w:ascii="Times New Roman" w:hAnsi="Times New Roman"/>
        </w:rPr>
        <w:t xml:space="preserve"> Увеличив гарантийный интервал до 8 </w:t>
      </w:r>
      <w:r w:rsidR="00FB569A">
        <w:rPr>
          <w:rFonts w:ascii="Times New Roman" w:hAnsi="Times New Roman"/>
        </w:rPr>
        <w:t xml:space="preserve">(два межповерочных интервала) </w:t>
      </w:r>
      <w:r w:rsidR="00180575">
        <w:rPr>
          <w:rFonts w:ascii="Times New Roman" w:hAnsi="Times New Roman"/>
        </w:rPr>
        <w:t>лет, мы будем удерживать показатели качества, как минимум, на прежнем уровне.</w:t>
      </w:r>
    </w:p>
    <w:p w:rsidR="00010BD3" w:rsidRPr="001D5231" w:rsidRDefault="00010BD3" w:rsidP="00180575">
      <w:pPr>
        <w:pStyle w:val="2"/>
        <w:spacing w:after="0" w:line="240" w:lineRule="auto"/>
        <w:ind w:left="0" w:firstLine="709"/>
        <w:jc w:val="both"/>
        <w:rPr>
          <w:sz w:val="22"/>
          <w:szCs w:val="22"/>
        </w:rPr>
      </w:pPr>
      <w:r w:rsidRPr="001D5231">
        <w:rPr>
          <w:sz w:val="22"/>
          <w:szCs w:val="22"/>
        </w:rPr>
        <w:t>В 2016</w:t>
      </w:r>
      <w:r w:rsidR="008332F3" w:rsidRPr="001D5231">
        <w:rPr>
          <w:sz w:val="22"/>
          <w:szCs w:val="22"/>
        </w:rPr>
        <w:t xml:space="preserve"> </w:t>
      </w:r>
      <w:r w:rsidRPr="001D5231">
        <w:rPr>
          <w:sz w:val="22"/>
          <w:szCs w:val="22"/>
        </w:rPr>
        <w:t>г</w:t>
      </w:r>
      <w:r w:rsidR="008332F3" w:rsidRPr="001D5231">
        <w:rPr>
          <w:sz w:val="22"/>
          <w:szCs w:val="22"/>
        </w:rPr>
        <w:t>оду</w:t>
      </w:r>
      <w:r w:rsidRPr="001D5231">
        <w:rPr>
          <w:sz w:val="22"/>
          <w:szCs w:val="22"/>
        </w:rPr>
        <w:t xml:space="preserve"> </w:t>
      </w:r>
      <w:r w:rsidR="00180575">
        <w:rPr>
          <w:sz w:val="22"/>
          <w:szCs w:val="22"/>
        </w:rPr>
        <w:t>производится</w:t>
      </w:r>
      <w:r w:rsidRPr="001D5231">
        <w:rPr>
          <w:sz w:val="22"/>
          <w:szCs w:val="22"/>
        </w:rPr>
        <w:t xml:space="preserve"> </w:t>
      </w:r>
      <w:r w:rsidR="00180575">
        <w:rPr>
          <w:sz w:val="22"/>
          <w:szCs w:val="22"/>
        </w:rPr>
        <w:t xml:space="preserve">модификация </w:t>
      </w:r>
      <w:r w:rsidRPr="001D5231">
        <w:rPr>
          <w:sz w:val="22"/>
          <w:szCs w:val="22"/>
        </w:rPr>
        <w:t>ВЭПС-Р. У ВЭПС</w:t>
      </w:r>
      <w:r w:rsidR="00180575">
        <w:rPr>
          <w:sz w:val="22"/>
          <w:szCs w:val="22"/>
        </w:rPr>
        <w:t>-Р</w:t>
      </w:r>
      <w:r w:rsidRPr="001D5231">
        <w:rPr>
          <w:sz w:val="22"/>
          <w:szCs w:val="22"/>
        </w:rPr>
        <w:t xml:space="preserve"> увеличен динамический диапазон </w:t>
      </w:r>
      <w:r w:rsidR="00180575">
        <w:rPr>
          <w:sz w:val="22"/>
          <w:szCs w:val="22"/>
        </w:rPr>
        <w:t xml:space="preserve">измерений до </w:t>
      </w:r>
      <w:r w:rsidRPr="001D5231">
        <w:rPr>
          <w:sz w:val="22"/>
          <w:szCs w:val="22"/>
        </w:rPr>
        <w:t>1:50</w:t>
      </w:r>
      <w:r w:rsidR="00180575">
        <w:rPr>
          <w:sz w:val="22"/>
          <w:szCs w:val="22"/>
        </w:rPr>
        <w:t>.</w:t>
      </w:r>
      <w:r w:rsidRPr="001D5231">
        <w:rPr>
          <w:sz w:val="22"/>
          <w:szCs w:val="22"/>
        </w:rPr>
        <w:t xml:space="preserve"> УФС прибора оснащен современными электронными компонентами</w:t>
      </w:r>
      <w:r w:rsidR="00180575">
        <w:rPr>
          <w:sz w:val="22"/>
          <w:szCs w:val="22"/>
        </w:rPr>
        <w:t>.</w:t>
      </w:r>
      <w:r w:rsidRPr="001D5231">
        <w:rPr>
          <w:sz w:val="22"/>
          <w:szCs w:val="22"/>
        </w:rPr>
        <w:t xml:space="preserve"> </w:t>
      </w:r>
      <w:r w:rsidR="00180575">
        <w:rPr>
          <w:sz w:val="22"/>
          <w:szCs w:val="22"/>
        </w:rPr>
        <w:t xml:space="preserve">Для легкости визуальной идентификации </w:t>
      </w:r>
      <w:r w:rsidRPr="001D5231">
        <w:rPr>
          <w:sz w:val="22"/>
          <w:szCs w:val="22"/>
        </w:rPr>
        <w:t>измени</w:t>
      </w:r>
      <w:r w:rsidR="00180575">
        <w:rPr>
          <w:sz w:val="22"/>
          <w:szCs w:val="22"/>
        </w:rPr>
        <w:t>ла</w:t>
      </w:r>
      <w:r w:rsidRPr="001D5231">
        <w:rPr>
          <w:sz w:val="22"/>
          <w:szCs w:val="22"/>
        </w:rPr>
        <w:t>с</w:t>
      </w:r>
      <w:r w:rsidR="00180575">
        <w:rPr>
          <w:sz w:val="22"/>
          <w:szCs w:val="22"/>
        </w:rPr>
        <w:t>ь</w:t>
      </w:r>
      <w:r w:rsidRPr="001D5231">
        <w:rPr>
          <w:sz w:val="22"/>
          <w:szCs w:val="22"/>
        </w:rPr>
        <w:t xml:space="preserve"> цветовая гамма прибора. </w:t>
      </w:r>
      <w:r w:rsidR="008332F3" w:rsidRPr="001D5231">
        <w:rPr>
          <w:sz w:val="22"/>
          <w:szCs w:val="22"/>
        </w:rPr>
        <w:t xml:space="preserve">ВЭПС-Р </w:t>
      </w:r>
      <w:r w:rsidR="00180575">
        <w:rPr>
          <w:sz w:val="22"/>
          <w:szCs w:val="22"/>
        </w:rPr>
        <w:t xml:space="preserve">полностью </w:t>
      </w:r>
      <w:r w:rsidR="008332F3" w:rsidRPr="001D5231">
        <w:rPr>
          <w:sz w:val="22"/>
          <w:szCs w:val="22"/>
        </w:rPr>
        <w:t xml:space="preserve">соответствует </w:t>
      </w:r>
      <w:r w:rsidR="00180575">
        <w:rPr>
          <w:sz w:val="22"/>
          <w:szCs w:val="22"/>
        </w:rPr>
        <w:t>новым П</w:t>
      </w:r>
      <w:r w:rsidR="008332F3" w:rsidRPr="001D5231">
        <w:rPr>
          <w:sz w:val="22"/>
          <w:szCs w:val="22"/>
        </w:rPr>
        <w:t>равила</w:t>
      </w:r>
      <w:r w:rsidR="00180575">
        <w:rPr>
          <w:sz w:val="22"/>
          <w:szCs w:val="22"/>
        </w:rPr>
        <w:t>м</w:t>
      </w:r>
      <w:r w:rsidR="008332F3" w:rsidRPr="001D5231">
        <w:rPr>
          <w:sz w:val="22"/>
          <w:szCs w:val="22"/>
        </w:rPr>
        <w:t xml:space="preserve"> коммерческого учета тепловой энергии, теплоносителя</w:t>
      </w:r>
      <w:r w:rsidR="00180575">
        <w:rPr>
          <w:sz w:val="22"/>
          <w:szCs w:val="22"/>
        </w:rPr>
        <w:t>,</w:t>
      </w:r>
      <w:r w:rsidR="008332F3" w:rsidRPr="001D5231">
        <w:rPr>
          <w:sz w:val="22"/>
          <w:szCs w:val="22"/>
        </w:rPr>
        <w:t xml:space="preserve"> утвержденны</w:t>
      </w:r>
      <w:r w:rsidR="00180575">
        <w:rPr>
          <w:sz w:val="22"/>
          <w:szCs w:val="22"/>
        </w:rPr>
        <w:t>м</w:t>
      </w:r>
      <w:r w:rsidR="008332F3" w:rsidRPr="001D5231">
        <w:rPr>
          <w:sz w:val="22"/>
          <w:szCs w:val="22"/>
        </w:rPr>
        <w:t xml:space="preserve"> </w:t>
      </w:r>
      <w:r w:rsidR="00180575">
        <w:rPr>
          <w:sz w:val="22"/>
          <w:szCs w:val="22"/>
        </w:rPr>
        <w:t>П</w:t>
      </w:r>
      <w:r w:rsidR="008332F3" w:rsidRPr="001D5231">
        <w:rPr>
          <w:sz w:val="22"/>
          <w:szCs w:val="22"/>
        </w:rPr>
        <w:t xml:space="preserve">остановлением Правительства Российской Федерации от 18 ноября 2013 г. № 1034. </w:t>
      </w:r>
      <w:r w:rsidRPr="001D5231">
        <w:rPr>
          <w:sz w:val="22"/>
          <w:szCs w:val="22"/>
        </w:rPr>
        <w:t xml:space="preserve"> </w:t>
      </w:r>
    </w:p>
    <w:p w:rsidR="00C50C6D" w:rsidRPr="001D5231" w:rsidRDefault="00C50C6D" w:rsidP="00824EAA">
      <w:pPr>
        <w:spacing w:after="0" w:line="240" w:lineRule="auto"/>
        <w:ind w:left="1134"/>
        <w:jc w:val="both"/>
      </w:pPr>
    </w:p>
    <w:p w:rsidR="006A0BA8" w:rsidRPr="001D5231" w:rsidRDefault="00C50C6D" w:rsidP="001D4C5A">
      <w:pPr>
        <w:spacing w:after="0" w:line="240" w:lineRule="auto"/>
        <w:ind w:firstLine="709"/>
        <w:jc w:val="both"/>
        <w:rPr>
          <w:rFonts w:ascii="Times New Roman" w:hAnsi="Times New Roman"/>
          <w:bCs/>
        </w:rPr>
      </w:pPr>
      <w:r w:rsidRPr="001D5231">
        <w:rPr>
          <w:rFonts w:ascii="Times New Roman" w:hAnsi="Times New Roman"/>
        </w:rPr>
        <w:t>Показател</w:t>
      </w:r>
      <w:r w:rsidR="00180575">
        <w:rPr>
          <w:rFonts w:ascii="Times New Roman" w:hAnsi="Times New Roman"/>
        </w:rPr>
        <w:t>и</w:t>
      </w:r>
      <w:r w:rsidRPr="001D5231">
        <w:rPr>
          <w:rFonts w:ascii="Times New Roman" w:hAnsi="Times New Roman"/>
        </w:rPr>
        <w:t xml:space="preserve"> качества электромагнитн</w:t>
      </w:r>
      <w:r w:rsidR="00180575">
        <w:rPr>
          <w:rFonts w:ascii="Times New Roman" w:hAnsi="Times New Roman"/>
        </w:rPr>
        <w:t>ых</w:t>
      </w:r>
      <w:r w:rsidRPr="001D5231">
        <w:rPr>
          <w:rFonts w:ascii="Times New Roman" w:hAnsi="Times New Roman"/>
        </w:rPr>
        <w:t xml:space="preserve"> преобразовател</w:t>
      </w:r>
      <w:r w:rsidR="00180575">
        <w:rPr>
          <w:rFonts w:ascii="Times New Roman" w:hAnsi="Times New Roman"/>
        </w:rPr>
        <w:t>ей</w:t>
      </w:r>
      <w:r w:rsidRPr="001D5231">
        <w:rPr>
          <w:rFonts w:ascii="Times New Roman" w:hAnsi="Times New Roman"/>
        </w:rPr>
        <w:t xml:space="preserve"> расхода ЭМИР-ПРАМЕР-550 в 2015 году улучшил</w:t>
      </w:r>
      <w:r w:rsidR="00180575">
        <w:rPr>
          <w:rFonts w:ascii="Times New Roman" w:hAnsi="Times New Roman"/>
        </w:rPr>
        <w:t>и</w:t>
      </w:r>
      <w:r w:rsidRPr="001D5231">
        <w:rPr>
          <w:rFonts w:ascii="Times New Roman" w:hAnsi="Times New Roman"/>
        </w:rPr>
        <w:t>с</w:t>
      </w:r>
      <w:r w:rsidR="00180575">
        <w:rPr>
          <w:rFonts w:ascii="Times New Roman" w:hAnsi="Times New Roman"/>
        </w:rPr>
        <w:t>ь</w:t>
      </w:r>
      <w:r w:rsidRPr="001D5231">
        <w:rPr>
          <w:rFonts w:ascii="Times New Roman" w:hAnsi="Times New Roman"/>
        </w:rPr>
        <w:t xml:space="preserve"> с </w:t>
      </w:r>
      <w:r w:rsidR="00180575">
        <w:rPr>
          <w:rFonts w:ascii="Times New Roman" w:hAnsi="Times New Roman"/>
        </w:rPr>
        <w:t>«</w:t>
      </w:r>
      <w:r w:rsidRPr="001D5231">
        <w:rPr>
          <w:rFonts w:ascii="Times New Roman" w:hAnsi="Times New Roman"/>
        </w:rPr>
        <w:t>достаточного</w:t>
      </w:r>
      <w:r w:rsidR="00180575">
        <w:rPr>
          <w:rFonts w:ascii="Times New Roman" w:hAnsi="Times New Roman"/>
        </w:rPr>
        <w:t>»</w:t>
      </w:r>
      <w:r w:rsidRPr="001D5231">
        <w:rPr>
          <w:rFonts w:ascii="Times New Roman" w:hAnsi="Times New Roman"/>
        </w:rPr>
        <w:t xml:space="preserve"> до </w:t>
      </w:r>
      <w:r w:rsidR="00180575">
        <w:rPr>
          <w:rFonts w:ascii="Times New Roman" w:hAnsi="Times New Roman"/>
        </w:rPr>
        <w:t>«</w:t>
      </w:r>
      <w:r w:rsidRPr="001D5231">
        <w:rPr>
          <w:rFonts w:ascii="Times New Roman" w:hAnsi="Times New Roman"/>
        </w:rPr>
        <w:t>высокого</w:t>
      </w:r>
      <w:r w:rsidR="00180575">
        <w:rPr>
          <w:rFonts w:ascii="Times New Roman" w:hAnsi="Times New Roman"/>
        </w:rPr>
        <w:t>»</w:t>
      </w:r>
      <w:r w:rsidRPr="001D5231">
        <w:rPr>
          <w:rFonts w:ascii="Times New Roman" w:hAnsi="Times New Roman"/>
        </w:rPr>
        <w:t>.</w:t>
      </w:r>
      <w:r w:rsidR="00010BD3" w:rsidRPr="001D5231">
        <w:rPr>
          <w:rFonts w:ascii="Times New Roman" w:hAnsi="Times New Roman"/>
        </w:rPr>
        <w:t xml:space="preserve">  </w:t>
      </w:r>
      <w:r w:rsidRPr="001D5231">
        <w:rPr>
          <w:rFonts w:ascii="Times New Roman" w:hAnsi="Times New Roman"/>
          <w:bCs/>
        </w:rPr>
        <w:t>Уровень отказ</w:t>
      </w:r>
      <w:r w:rsidR="00986BD3">
        <w:rPr>
          <w:rFonts w:ascii="Times New Roman" w:hAnsi="Times New Roman"/>
          <w:bCs/>
        </w:rPr>
        <w:t>ов</w:t>
      </w:r>
      <w:r w:rsidRPr="001D5231">
        <w:rPr>
          <w:rFonts w:ascii="Times New Roman" w:hAnsi="Times New Roman"/>
          <w:bCs/>
        </w:rPr>
        <w:t xml:space="preserve"> гарантийных приборов</w:t>
      </w:r>
      <w:r w:rsidR="00986BD3">
        <w:rPr>
          <w:rFonts w:ascii="Times New Roman" w:hAnsi="Times New Roman"/>
          <w:bCs/>
        </w:rPr>
        <w:t xml:space="preserve"> ЭМИР-ПРАМЕР-550 составил 0,15%.</w:t>
      </w:r>
      <w:r w:rsidRPr="001D5231">
        <w:rPr>
          <w:rFonts w:ascii="Times New Roman" w:hAnsi="Times New Roman"/>
          <w:bCs/>
        </w:rPr>
        <w:t xml:space="preserve"> </w:t>
      </w:r>
      <w:r w:rsidR="00986BD3">
        <w:rPr>
          <w:rFonts w:ascii="Times New Roman" w:hAnsi="Times New Roman"/>
          <w:bCs/>
        </w:rPr>
        <w:t>П</w:t>
      </w:r>
      <w:r w:rsidRPr="001D5231">
        <w:rPr>
          <w:rFonts w:ascii="Times New Roman" w:hAnsi="Times New Roman"/>
          <w:bCs/>
        </w:rPr>
        <w:t>оказател</w:t>
      </w:r>
      <w:r w:rsidR="00986BD3">
        <w:rPr>
          <w:rFonts w:ascii="Times New Roman" w:hAnsi="Times New Roman"/>
          <w:bCs/>
        </w:rPr>
        <w:t>и</w:t>
      </w:r>
      <w:r w:rsidRPr="001D5231">
        <w:rPr>
          <w:rFonts w:ascii="Times New Roman" w:hAnsi="Times New Roman"/>
          <w:bCs/>
        </w:rPr>
        <w:t xml:space="preserve"> качества </w:t>
      </w:r>
      <w:r w:rsidR="00304270">
        <w:rPr>
          <w:rFonts w:ascii="Times New Roman" w:hAnsi="Times New Roman"/>
          <w:bCs/>
        </w:rPr>
        <w:t>понизил</w:t>
      </w:r>
      <w:r w:rsidR="00986BD3">
        <w:rPr>
          <w:rFonts w:ascii="Times New Roman" w:hAnsi="Times New Roman"/>
          <w:bCs/>
        </w:rPr>
        <w:t>и</w:t>
      </w:r>
      <w:r w:rsidR="00304270">
        <w:rPr>
          <w:rFonts w:ascii="Times New Roman" w:hAnsi="Times New Roman"/>
          <w:bCs/>
        </w:rPr>
        <w:t>с</w:t>
      </w:r>
      <w:r w:rsidR="00986BD3">
        <w:rPr>
          <w:rFonts w:ascii="Times New Roman" w:hAnsi="Times New Roman"/>
          <w:bCs/>
        </w:rPr>
        <w:t>ь</w:t>
      </w:r>
      <w:r w:rsidRPr="001D5231">
        <w:rPr>
          <w:rFonts w:ascii="Times New Roman" w:hAnsi="Times New Roman"/>
          <w:bCs/>
        </w:rPr>
        <w:t xml:space="preserve">, с </w:t>
      </w:r>
      <w:r w:rsidR="00986BD3">
        <w:rPr>
          <w:rFonts w:ascii="Times New Roman" w:hAnsi="Times New Roman"/>
          <w:bCs/>
        </w:rPr>
        <w:t>«</w:t>
      </w:r>
      <w:r w:rsidRPr="001D5231">
        <w:rPr>
          <w:rFonts w:ascii="Times New Roman" w:hAnsi="Times New Roman"/>
          <w:bCs/>
        </w:rPr>
        <w:t>очень высокого</w:t>
      </w:r>
      <w:r w:rsidR="00986BD3">
        <w:rPr>
          <w:rFonts w:ascii="Times New Roman" w:hAnsi="Times New Roman"/>
          <w:bCs/>
        </w:rPr>
        <w:t>»</w:t>
      </w:r>
      <w:r w:rsidRPr="001D5231">
        <w:rPr>
          <w:rFonts w:ascii="Times New Roman" w:hAnsi="Times New Roman"/>
          <w:bCs/>
        </w:rPr>
        <w:t xml:space="preserve"> в 2014г на </w:t>
      </w:r>
      <w:r w:rsidR="00986BD3">
        <w:rPr>
          <w:rFonts w:ascii="Times New Roman" w:hAnsi="Times New Roman"/>
          <w:bCs/>
        </w:rPr>
        <w:t>«</w:t>
      </w:r>
      <w:r w:rsidRPr="001D5231">
        <w:rPr>
          <w:rFonts w:ascii="Times New Roman" w:hAnsi="Times New Roman"/>
          <w:bCs/>
        </w:rPr>
        <w:t>высокий</w:t>
      </w:r>
      <w:r w:rsidR="00986BD3">
        <w:rPr>
          <w:rFonts w:ascii="Times New Roman" w:hAnsi="Times New Roman"/>
          <w:bCs/>
        </w:rPr>
        <w:t>» в</w:t>
      </w:r>
      <w:r w:rsidRPr="001D5231">
        <w:rPr>
          <w:rFonts w:ascii="Times New Roman" w:hAnsi="Times New Roman"/>
          <w:bCs/>
        </w:rPr>
        <w:t xml:space="preserve"> 2015г. </w:t>
      </w:r>
    </w:p>
    <w:p w:rsidR="00986BD3" w:rsidRDefault="001A1959" w:rsidP="001D4C5A">
      <w:pPr>
        <w:pStyle w:val="ab"/>
        <w:spacing w:after="0" w:line="240" w:lineRule="auto"/>
        <w:ind w:left="0" w:firstLine="709"/>
        <w:jc w:val="both"/>
        <w:rPr>
          <w:rFonts w:ascii="Times New Roman" w:hAnsi="Times New Roman"/>
        </w:rPr>
      </w:pPr>
      <w:r w:rsidRPr="001D5231">
        <w:rPr>
          <w:rFonts w:ascii="Times New Roman" w:hAnsi="Times New Roman"/>
        </w:rPr>
        <w:t xml:space="preserve">С начала 2015г ЭМИР-ПРАМЕР-550 </w:t>
      </w:r>
      <w:r w:rsidR="00986BD3">
        <w:rPr>
          <w:rFonts w:ascii="Times New Roman" w:hAnsi="Times New Roman"/>
        </w:rPr>
        <w:t>подвергнут модернизациям, улучшившим его потребительские свойства</w:t>
      </w:r>
      <w:r w:rsidR="001D4C5A">
        <w:rPr>
          <w:rFonts w:ascii="Times New Roman" w:hAnsi="Times New Roman"/>
        </w:rPr>
        <w:t>.</w:t>
      </w:r>
    </w:p>
    <w:p w:rsidR="001D4C5A" w:rsidRPr="001D4C5A" w:rsidRDefault="001D4C5A" w:rsidP="001D4C5A">
      <w:pPr>
        <w:spacing w:after="0" w:line="240" w:lineRule="auto"/>
        <w:jc w:val="both"/>
        <w:rPr>
          <w:rFonts w:ascii="Times New Roman" w:hAnsi="Times New Roman"/>
          <w:b/>
          <w:sz w:val="24"/>
          <w:szCs w:val="24"/>
        </w:rPr>
      </w:pPr>
      <w:r w:rsidRPr="001D4C5A">
        <w:rPr>
          <w:rFonts w:ascii="Times New Roman" w:hAnsi="Times New Roman"/>
          <w:b/>
          <w:sz w:val="24"/>
          <w:szCs w:val="24"/>
        </w:rPr>
        <w:t xml:space="preserve">1. Прибор полностью соответствует требованиям новых Правил учета тепловой энергии и теплоносителей. </w:t>
      </w:r>
    </w:p>
    <w:p w:rsidR="001D4C5A" w:rsidRPr="001D4C5A" w:rsidRDefault="001D4C5A" w:rsidP="001D4C5A">
      <w:pPr>
        <w:spacing w:after="0" w:line="240" w:lineRule="auto"/>
        <w:jc w:val="both"/>
        <w:rPr>
          <w:rFonts w:ascii="Times New Roman" w:hAnsi="Times New Roman"/>
          <w:sz w:val="24"/>
          <w:szCs w:val="24"/>
        </w:rPr>
      </w:pPr>
      <w:r w:rsidRPr="001D4C5A">
        <w:rPr>
          <w:rFonts w:ascii="Times New Roman" w:hAnsi="Times New Roman"/>
          <w:sz w:val="24"/>
          <w:szCs w:val="24"/>
        </w:rPr>
        <w:t>В частности:</w:t>
      </w:r>
    </w:p>
    <w:p w:rsidR="001D4C5A" w:rsidRPr="001D4C5A" w:rsidRDefault="001D4C5A" w:rsidP="001D4C5A">
      <w:pPr>
        <w:spacing w:after="0" w:line="240" w:lineRule="auto"/>
        <w:jc w:val="both"/>
        <w:rPr>
          <w:rFonts w:ascii="Times New Roman" w:hAnsi="Times New Roman"/>
          <w:sz w:val="24"/>
          <w:szCs w:val="24"/>
        </w:rPr>
      </w:pPr>
      <w:r w:rsidRPr="001D4C5A">
        <w:rPr>
          <w:rFonts w:ascii="Times New Roman" w:hAnsi="Times New Roman"/>
          <w:sz w:val="24"/>
          <w:szCs w:val="24"/>
        </w:rPr>
        <w:t xml:space="preserve">- Конструкция ЭМИР-ПРАМЕР-550 обеспечивает невозможность доступа к частям прибора в целях несанкционированной настройки и вмешательства, которые могут привести к искажению результатов измерений. </w:t>
      </w:r>
    </w:p>
    <w:p w:rsidR="001D4C5A" w:rsidRPr="001D4C5A" w:rsidRDefault="001D4C5A" w:rsidP="001D4C5A">
      <w:pPr>
        <w:spacing w:after="0" w:line="240" w:lineRule="auto"/>
        <w:jc w:val="both"/>
        <w:rPr>
          <w:rFonts w:ascii="Times New Roman" w:hAnsi="Times New Roman"/>
          <w:sz w:val="24"/>
          <w:szCs w:val="24"/>
        </w:rPr>
      </w:pPr>
      <w:r w:rsidRPr="001D4C5A">
        <w:rPr>
          <w:rFonts w:ascii="Times New Roman" w:hAnsi="Times New Roman"/>
          <w:sz w:val="24"/>
          <w:szCs w:val="24"/>
        </w:rPr>
        <w:t>- При отсутствии теплоносителя в трубопроводе («сухая труба») сигнальный светодиод на электронной плате ЭМИР-ПРАМЕР-550 горит непрерывно.</w:t>
      </w:r>
    </w:p>
    <w:p w:rsidR="001D4C5A" w:rsidRPr="001D4C5A" w:rsidRDefault="001D4C5A" w:rsidP="001D4C5A">
      <w:pPr>
        <w:spacing w:after="0" w:line="240" w:lineRule="auto"/>
        <w:jc w:val="both"/>
        <w:rPr>
          <w:rFonts w:ascii="Times New Roman" w:hAnsi="Times New Roman"/>
          <w:b/>
          <w:sz w:val="24"/>
          <w:szCs w:val="24"/>
        </w:rPr>
      </w:pPr>
      <w:r w:rsidRPr="001D4C5A">
        <w:rPr>
          <w:rFonts w:ascii="Times New Roman" w:hAnsi="Times New Roman"/>
          <w:b/>
          <w:sz w:val="24"/>
          <w:szCs w:val="24"/>
        </w:rPr>
        <w:t xml:space="preserve">2. Улучшения конструкции корпуса. </w:t>
      </w:r>
    </w:p>
    <w:p w:rsidR="001D4C5A" w:rsidRPr="001D4C5A" w:rsidRDefault="001D4C5A" w:rsidP="001D4C5A">
      <w:pPr>
        <w:spacing w:after="0" w:line="240" w:lineRule="auto"/>
        <w:jc w:val="both"/>
        <w:rPr>
          <w:rFonts w:ascii="Times New Roman" w:hAnsi="Times New Roman"/>
          <w:sz w:val="24"/>
          <w:szCs w:val="24"/>
        </w:rPr>
      </w:pPr>
      <w:r w:rsidRPr="001D4C5A">
        <w:rPr>
          <w:rFonts w:ascii="Times New Roman" w:hAnsi="Times New Roman"/>
          <w:sz w:val="24"/>
          <w:szCs w:val="24"/>
        </w:rPr>
        <w:t>- Исполнение ЭМИР-ПРАМЕР-550 для систем ХВС с защитой от образования конденсата раньше выполнялось по специальному заказу за дополнительную оплату, если заранее было известно, что прибор будет эксплуатироваться на холодной воде. Теперь конструкция преобразователя обеспечивает защиту элементов от воздействия окружающей среды и конденсата в базовом исполнении без дополнительной оплаты, и любой ЭМИР-ПРАМЕР-550 можно уверенно эксплуатировать для измерения расходов как горячей, так и холодной воды.</w:t>
      </w:r>
    </w:p>
    <w:p w:rsidR="001D4C5A" w:rsidRPr="001D4C5A" w:rsidRDefault="001D4C5A" w:rsidP="001D4C5A">
      <w:pPr>
        <w:spacing w:after="0" w:line="240" w:lineRule="auto"/>
        <w:jc w:val="both"/>
        <w:rPr>
          <w:rFonts w:ascii="Times New Roman" w:hAnsi="Times New Roman"/>
          <w:sz w:val="24"/>
          <w:szCs w:val="24"/>
        </w:rPr>
      </w:pPr>
      <w:r w:rsidRPr="001D4C5A">
        <w:rPr>
          <w:rFonts w:ascii="Times New Roman" w:hAnsi="Times New Roman"/>
          <w:sz w:val="24"/>
          <w:szCs w:val="24"/>
        </w:rPr>
        <w:t>- ЭМИР-ПРАМЕР-550 защищен от проникновения влаги при попадании брызг с любых направлений. Влага не задерживается на обтекаемых формах кожуха магнитной системы. Полностью герметичный прибор, способный работать в затопленном состоянии, изготавливается по специальному заказу.</w:t>
      </w:r>
    </w:p>
    <w:p w:rsidR="001D4C5A" w:rsidRPr="001D4C5A" w:rsidRDefault="001D4C5A" w:rsidP="001D4C5A">
      <w:pPr>
        <w:spacing w:after="0" w:line="240" w:lineRule="auto"/>
        <w:jc w:val="both"/>
        <w:rPr>
          <w:rFonts w:ascii="Times New Roman" w:hAnsi="Times New Roman"/>
          <w:sz w:val="24"/>
          <w:szCs w:val="24"/>
        </w:rPr>
      </w:pPr>
      <w:r w:rsidRPr="001D4C5A">
        <w:rPr>
          <w:rFonts w:ascii="Times New Roman" w:hAnsi="Times New Roman"/>
          <w:sz w:val="24"/>
          <w:szCs w:val="24"/>
        </w:rPr>
        <w:t xml:space="preserve">- Кожух магнитной системы ПРАМЕР-550 по-прежнему изготовлен из металла, что является традиционной и принципиальной особенностью приборов производства ЗАО «Промсервис». Прочный металлический кожух защищает магнитную систему прибора от механических повреждений. Металлический кожух обеспечивает экранирующую защиту от воздействия магнитных полей на элементы преобразователя и предотвращает искажение результатов измерений. </w:t>
      </w:r>
    </w:p>
    <w:p w:rsidR="001D4C5A" w:rsidRPr="001D4C5A" w:rsidRDefault="001D4C5A" w:rsidP="001D4C5A">
      <w:pPr>
        <w:spacing w:after="0" w:line="240" w:lineRule="auto"/>
        <w:jc w:val="both"/>
        <w:rPr>
          <w:rFonts w:ascii="Times New Roman" w:hAnsi="Times New Roman"/>
          <w:sz w:val="24"/>
          <w:szCs w:val="24"/>
        </w:rPr>
      </w:pPr>
      <w:r w:rsidRPr="001D4C5A">
        <w:rPr>
          <w:rFonts w:ascii="Times New Roman" w:hAnsi="Times New Roman"/>
          <w:sz w:val="24"/>
          <w:szCs w:val="24"/>
        </w:rPr>
        <w:lastRenderedPageBreak/>
        <w:t>- Применение современных материалов и технологий при изготовлении узлов герметизации электродов ЭМИР-ПРАМЕР-550 надежно предохраняет от нарушения герметичности корпуса.</w:t>
      </w:r>
    </w:p>
    <w:p w:rsidR="001D4C5A" w:rsidRPr="001D4C5A" w:rsidRDefault="001D4C5A" w:rsidP="001D4C5A">
      <w:pPr>
        <w:spacing w:after="0" w:line="240" w:lineRule="auto"/>
        <w:jc w:val="both"/>
        <w:rPr>
          <w:rFonts w:ascii="Times New Roman" w:hAnsi="Times New Roman"/>
          <w:sz w:val="24"/>
          <w:szCs w:val="24"/>
        </w:rPr>
      </w:pPr>
      <w:r w:rsidRPr="001D4C5A">
        <w:rPr>
          <w:rFonts w:ascii="Times New Roman" w:hAnsi="Times New Roman"/>
          <w:sz w:val="24"/>
          <w:szCs w:val="24"/>
        </w:rPr>
        <w:t>- Низкая теплопроводность пластикового корпуса электронного блока ЭМИР-ПРАМЕР-550 предохраняет электронику от перегревания.</w:t>
      </w:r>
    </w:p>
    <w:p w:rsidR="001D4C5A" w:rsidRPr="001D4C5A" w:rsidRDefault="001D4C5A" w:rsidP="001D4C5A">
      <w:pPr>
        <w:spacing w:after="0" w:line="240" w:lineRule="auto"/>
        <w:jc w:val="both"/>
        <w:rPr>
          <w:rFonts w:ascii="Times New Roman" w:hAnsi="Times New Roman"/>
          <w:b/>
          <w:sz w:val="24"/>
          <w:szCs w:val="24"/>
        </w:rPr>
      </w:pPr>
      <w:r w:rsidRPr="001D4C5A">
        <w:rPr>
          <w:rFonts w:ascii="Times New Roman" w:hAnsi="Times New Roman"/>
          <w:b/>
          <w:sz w:val="24"/>
          <w:szCs w:val="24"/>
        </w:rPr>
        <w:t>3. Улучшены эксплуатационные качества.</w:t>
      </w:r>
    </w:p>
    <w:p w:rsidR="001D4C5A" w:rsidRPr="001D4C5A" w:rsidRDefault="001D4C5A" w:rsidP="001D4C5A">
      <w:pPr>
        <w:spacing w:after="0" w:line="240" w:lineRule="auto"/>
        <w:jc w:val="both"/>
        <w:rPr>
          <w:rFonts w:ascii="Times New Roman" w:hAnsi="Times New Roman"/>
          <w:sz w:val="24"/>
          <w:szCs w:val="24"/>
        </w:rPr>
      </w:pPr>
      <w:r w:rsidRPr="001D4C5A">
        <w:rPr>
          <w:rFonts w:ascii="Times New Roman" w:hAnsi="Times New Roman"/>
          <w:sz w:val="24"/>
          <w:szCs w:val="24"/>
        </w:rPr>
        <w:t>- Возможность поворота корпуса электронного блока на 90 градусов обеспечивает удобную работу с ПРАМЕР-550 при любом его расположении на трубопроводе.</w:t>
      </w:r>
    </w:p>
    <w:p w:rsidR="001D4C5A" w:rsidRPr="001D4C5A" w:rsidRDefault="001D4C5A" w:rsidP="001D4C5A">
      <w:pPr>
        <w:spacing w:after="0" w:line="240" w:lineRule="auto"/>
        <w:jc w:val="both"/>
        <w:rPr>
          <w:rFonts w:ascii="Times New Roman" w:hAnsi="Times New Roman"/>
          <w:sz w:val="24"/>
          <w:szCs w:val="24"/>
        </w:rPr>
      </w:pPr>
      <w:r w:rsidRPr="001D4C5A">
        <w:rPr>
          <w:rFonts w:ascii="Times New Roman" w:hAnsi="Times New Roman"/>
          <w:sz w:val="24"/>
          <w:szCs w:val="24"/>
        </w:rPr>
        <w:t>- Прозрачная тыльная крышка корпуса электронного блока обеспечивает обзор светодиода, сигнализирующего о режимах работы ЭМИР-ПРАМЕ-550. Поэтому экспресс-диагностику работоспособности прибора возможно произвести без демонтажа крышки.</w:t>
      </w:r>
    </w:p>
    <w:p w:rsidR="001D4C5A" w:rsidRPr="001D4C5A" w:rsidRDefault="001D4C5A" w:rsidP="001D4C5A">
      <w:pPr>
        <w:spacing w:after="0" w:line="240" w:lineRule="auto"/>
        <w:jc w:val="both"/>
        <w:rPr>
          <w:rFonts w:ascii="Times New Roman" w:hAnsi="Times New Roman"/>
          <w:sz w:val="24"/>
          <w:szCs w:val="24"/>
        </w:rPr>
      </w:pPr>
      <w:r w:rsidRPr="001D4C5A">
        <w:rPr>
          <w:rFonts w:ascii="Times New Roman" w:hAnsi="Times New Roman"/>
          <w:sz w:val="24"/>
          <w:szCs w:val="24"/>
        </w:rPr>
        <w:t>- Кроме шильда, содержащего индивидуальные паспортные данные конкретного прибора, на крышках корпуса электронного блока размещены стикеры, отображающие дополнительную полезную информацию.</w:t>
      </w:r>
    </w:p>
    <w:p w:rsidR="001D4C5A" w:rsidRPr="001D4C5A" w:rsidRDefault="001D4C5A" w:rsidP="001D4C5A">
      <w:pPr>
        <w:spacing w:after="0" w:line="240" w:lineRule="auto"/>
        <w:ind w:firstLine="709"/>
        <w:jc w:val="both"/>
        <w:rPr>
          <w:rFonts w:ascii="Times New Roman" w:hAnsi="Times New Roman"/>
          <w:sz w:val="24"/>
          <w:szCs w:val="24"/>
        </w:rPr>
      </w:pPr>
      <w:r w:rsidRPr="001D4C5A">
        <w:rPr>
          <w:rFonts w:ascii="Times New Roman" w:hAnsi="Times New Roman"/>
          <w:sz w:val="24"/>
          <w:szCs w:val="24"/>
        </w:rPr>
        <w:t xml:space="preserve">Специалисты завода-производителя уверены в надежности работы ЭМИР-ПРАМЕР-550. Гарантийный срок - </w:t>
      </w:r>
      <w:r>
        <w:rPr>
          <w:rFonts w:ascii="Times New Roman" w:hAnsi="Times New Roman"/>
          <w:sz w:val="24"/>
          <w:szCs w:val="24"/>
        </w:rPr>
        <w:t>8</w:t>
      </w:r>
      <w:r w:rsidRPr="001D4C5A">
        <w:rPr>
          <w:rFonts w:ascii="Times New Roman" w:hAnsi="Times New Roman"/>
          <w:sz w:val="24"/>
          <w:szCs w:val="24"/>
        </w:rPr>
        <w:t xml:space="preserve"> лет </w:t>
      </w:r>
      <w:r w:rsidR="00FB569A">
        <w:rPr>
          <w:rFonts w:ascii="Times New Roman" w:hAnsi="Times New Roman"/>
          <w:sz w:val="24"/>
          <w:szCs w:val="24"/>
        </w:rPr>
        <w:t xml:space="preserve">(два межповерочных интервала) </w:t>
      </w:r>
      <w:r w:rsidRPr="001D4C5A">
        <w:rPr>
          <w:rFonts w:ascii="Times New Roman" w:hAnsi="Times New Roman"/>
          <w:sz w:val="24"/>
          <w:szCs w:val="24"/>
        </w:rPr>
        <w:t>при соблюдении условий эксплуатации, указанных в технической документации.</w:t>
      </w:r>
    </w:p>
    <w:p w:rsidR="001D5231" w:rsidRDefault="003115FD" w:rsidP="00FB569A">
      <w:pPr>
        <w:pStyle w:val="2"/>
        <w:spacing w:after="0" w:line="240" w:lineRule="auto"/>
        <w:ind w:left="0" w:firstLine="709"/>
        <w:jc w:val="both"/>
        <w:rPr>
          <w:sz w:val="22"/>
          <w:szCs w:val="22"/>
        </w:rPr>
      </w:pPr>
      <w:r>
        <w:rPr>
          <w:sz w:val="22"/>
          <w:szCs w:val="22"/>
        </w:rPr>
        <w:t>П</w:t>
      </w:r>
      <w:r w:rsidR="007B06B6" w:rsidRPr="007B06B6">
        <w:rPr>
          <w:sz w:val="22"/>
          <w:szCs w:val="22"/>
        </w:rPr>
        <w:t>оказател</w:t>
      </w:r>
      <w:r w:rsidR="00FB569A">
        <w:rPr>
          <w:sz w:val="22"/>
          <w:szCs w:val="22"/>
        </w:rPr>
        <w:t>и</w:t>
      </w:r>
      <w:r w:rsidR="007B06B6" w:rsidRPr="007B06B6">
        <w:rPr>
          <w:sz w:val="22"/>
          <w:szCs w:val="22"/>
        </w:rPr>
        <w:t xml:space="preserve"> качества ультразвукового счетчика жидкости П</w:t>
      </w:r>
      <w:r w:rsidR="00FB569A">
        <w:rPr>
          <w:sz w:val="22"/>
          <w:szCs w:val="22"/>
        </w:rPr>
        <w:t>РАМЕР-510 последние 3 года держа</w:t>
      </w:r>
      <w:r w:rsidR="007B06B6" w:rsidRPr="007B06B6">
        <w:rPr>
          <w:sz w:val="22"/>
          <w:szCs w:val="22"/>
        </w:rPr>
        <w:t xml:space="preserve">тся на </w:t>
      </w:r>
      <w:r w:rsidR="00FB569A">
        <w:rPr>
          <w:sz w:val="22"/>
          <w:szCs w:val="22"/>
        </w:rPr>
        <w:t>«</w:t>
      </w:r>
      <w:r w:rsidR="007B06B6" w:rsidRPr="007B06B6">
        <w:rPr>
          <w:sz w:val="22"/>
          <w:szCs w:val="22"/>
        </w:rPr>
        <w:t>высоком</w:t>
      </w:r>
      <w:r w:rsidR="00FB569A">
        <w:rPr>
          <w:sz w:val="22"/>
          <w:szCs w:val="22"/>
        </w:rPr>
        <w:t>»</w:t>
      </w:r>
      <w:r w:rsidR="007B06B6" w:rsidRPr="007B06B6">
        <w:rPr>
          <w:sz w:val="22"/>
          <w:szCs w:val="22"/>
        </w:rPr>
        <w:t xml:space="preserve"> уровне.</w:t>
      </w:r>
      <w:r w:rsidR="00304270">
        <w:rPr>
          <w:sz w:val="22"/>
          <w:szCs w:val="22"/>
        </w:rPr>
        <w:t xml:space="preserve"> За эти годы про</w:t>
      </w:r>
      <w:r w:rsidR="00FB569A">
        <w:rPr>
          <w:sz w:val="22"/>
          <w:szCs w:val="22"/>
        </w:rPr>
        <w:t>ведены</w:t>
      </w:r>
      <w:r w:rsidR="00304270">
        <w:rPr>
          <w:sz w:val="22"/>
          <w:szCs w:val="22"/>
        </w:rPr>
        <w:t xml:space="preserve"> изменения в электронном блоке (доработка к помехоустойчивости)</w:t>
      </w:r>
      <w:r w:rsidR="005F0939">
        <w:rPr>
          <w:sz w:val="22"/>
          <w:szCs w:val="22"/>
        </w:rPr>
        <w:t>.</w:t>
      </w:r>
    </w:p>
    <w:p w:rsidR="0067710C" w:rsidRPr="00831208" w:rsidRDefault="0067710C" w:rsidP="00FB569A">
      <w:pPr>
        <w:pStyle w:val="2"/>
        <w:spacing w:after="0" w:line="240" w:lineRule="auto"/>
        <w:ind w:left="0" w:firstLine="709"/>
        <w:jc w:val="both"/>
        <w:rPr>
          <w:sz w:val="22"/>
          <w:szCs w:val="22"/>
        </w:rPr>
      </w:pPr>
      <w:r w:rsidRPr="008C7939">
        <w:rPr>
          <w:sz w:val="22"/>
          <w:szCs w:val="22"/>
        </w:rPr>
        <w:t>Показател</w:t>
      </w:r>
      <w:r w:rsidR="00FB569A">
        <w:rPr>
          <w:sz w:val="22"/>
          <w:szCs w:val="22"/>
        </w:rPr>
        <w:t>и</w:t>
      </w:r>
      <w:r w:rsidRPr="008C7939">
        <w:rPr>
          <w:sz w:val="22"/>
          <w:szCs w:val="22"/>
        </w:rPr>
        <w:t xml:space="preserve"> качества термоконтроллера ПРАМЕР-710-1</w:t>
      </w:r>
      <w:r w:rsidR="00831208">
        <w:rPr>
          <w:sz w:val="22"/>
          <w:szCs w:val="22"/>
        </w:rPr>
        <w:t xml:space="preserve"> улучшил</w:t>
      </w:r>
      <w:r w:rsidR="00FB569A">
        <w:rPr>
          <w:sz w:val="22"/>
          <w:szCs w:val="22"/>
        </w:rPr>
        <w:t>и</w:t>
      </w:r>
      <w:r w:rsidR="00831208">
        <w:rPr>
          <w:sz w:val="22"/>
          <w:szCs w:val="22"/>
        </w:rPr>
        <w:t>с</w:t>
      </w:r>
      <w:r w:rsidR="00FB569A">
        <w:rPr>
          <w:sz w:val="22"/>
          <w:szCs w:val="22"/>
        </w:rPr>
        <w:t>ь</w:t>
      </w:r>
      <w:r w:rsidR="00831208">
        <w:rPr>
          <w:sz w:val="22"/>
          <w:szCs w:val="22"/>
        </w:rPr>
        <w:t xml:space="preserve"> с</w:t>
      </w:r>
      <w:r w:rsidRPr="008C7939">
        <w:rPr>
          <w:sz w:val="22"/>
          <w:szCs w:val="22"/>
        </w:rPr>
        <w:t xml:space="preserve"> </w:t>
      </w:r>
      <w:r w:rsidR="00FB569A">
        <w:rPr>
          <w:sz w:val="22"/>
          <w:szCs w:val="22"/>
        </w:rPr>
        <w:t>«</w:t>
      </w:r>
      <w:r w:rsidRPr="008C7939">
        <w:rPr>
          <w:sz w:val="22"/>
          <w:szCs w:val="22"/>
        </w:rPr>
        <w:t>достаточного</w:t>
      </w:r>
      <w:r w:rsidR="00FB569A">
        <w:rPr>
          <w:sz w:val="22"/>
          <w:szCs w:val="22"/>
        </w:rPr>
        <w:t>»</w:t>
      </w:r>
      <w:r w:rsidRPr="008C7939">
        <w:rPr>
          <w:sz w:val="22"/>
          <w:szCs w:val="22"/>
        </w:rPr>
        <w:t xml:space="preserve"> до </w:t>
      </w:r>
      <w:r w:rsidR="00FB569A">
        <w:rPr>
          <w:sz w:val="22"/>
          <w:szCs w:val="22"/>
        </w:rPr>
        <w:t>«</w:t>
      </w:r>
      <w:r w:rsidRPr="008C7939">
        <w:rPr>
          <w:sz w:val="22"/>
          <w:szCs w:val="22"/>
        </w:rPr>
        <w:t>высокого</w:t>
      </w:r>
      <w:r w:rsidR="00FB569A">
        <w:rPr>
          <w:sz w:val="22"/>
          <w:szCs w:val="22"/>
        </w:rPr>
        <w:t>»</w:t>
      </w:r>
      <w:r w:rsidRPr="008C7939">
        <w:rPr>
          <w:sz w:val="22"/>
          <w:szCs w:val="22"/>
        </w:rPr>
        <w:t>.</w:t>
      </w:r>
      <w:r w:rsidR="008C7939" w:rsidRPr="008C7939">
        <w:rPr>
          <w:sz w:val="22"/>
          <w:szCs w:val="22"/>
        </w:rPr>
        <w:t xml:space="preserve"> Прибор прошел этапы эволюции </w:t>
      </w:r>
      <w:r w:rsidR="008C7939">
        <w:rPr>
          <w:sz w:val="22"/>
          <w:szCs w:val="22"/>
        </w:rPr>
        <w:t xml:space="preserve">(замена комплектующих на более современные, обновлялось </w:t>
      </w:r>
      <w:r w:rsidR="00831208">
        <w:rPr>
          <w:sz w:val="22"/>
          <w:szCs w:val="22"/>
        </w:rPr>
        <w:t>программное обеспечение</w:t>
      </w:r>
      <w:r w:rsidR="008C7939">
        <w:rPr>
          <w:sz w:val="22"/>
          <w:szCs w:val="22"/>
        </w:rPr>
        <w:t>).</w:t>
      </w:r>
      <w:r w:rsidR="00C42C35">
        <w:rPr>
          <w:sz w:val="22"/>
          <w:szCs w:val="22"/>
        </w:rPr>
        <w:t xml:space="preserve"> </w:t>
      </w:r>
      <w:r w:rsidR="003115FD">
        <w:rPr>
          <w:sz w:val="22"/>
          <w:szCs w:val="22"/>
        </w:rPr>
        <w:t>В</w:t>
      </w:r>
      <w:r w:rsidR="00C42C35" w:rsidRPr="00831208">
        <w:rPr>
          <w:sz w:val="22"/>
          <w:szCs w:val="22"/>
        </w:rPr>
        <w:t xml:space="preserve"> </w:t>
      </w:r>
      <w:r w:rsidR="00831208" w:rsidRPr="00831208">
        <w:rPr>
          <w:sz w:val="22"/>
          <w:szCs w:val="22"/>
        </w:rPr>
        <w:t>настоящий</w:t>
      </w:r>
      <w:r w:rsidR="00C42C35" w:rsidRPr="00831208">
        <w:rPr>
          <w:sz w:val="22"/>
          <w:szCs w:val="22"/>
        </w:rPr>
        <w:t xml:space="preserve"> момент</w:t>
      </w:r>
      <w:r w:rsidR="00831208" w:rsidRPr="00831208">
        <w:rPr>
          <w:sz w:val="22"/>
          <w:szCs w:val="22"/>
        </w:rPr>
        <w:t xml:space="preserve">  термоконтроллер находится практически в совершенном состоянии.</w:t>
      </w:r>
    </w:p>
    <w:p w:rsidR="003115FD" w:rsidRDefault="005F0939" w:rsidP="003115FD">
      <w:pPr>
        <w:pStyle w:val="2"/>
        <w:spacing w:after="0" w:line="240" w:lineRule="auto"/>
        <w:ind w:left="0" w:firstLine="709"/>
        <w:jc w:val="both"/>
        <w:rPr>
          <w:sz w:val="22"/>
          <w:szCs w:val="22"/>
        </w:rPr>
      </w:pPr>
      <w:r>
        <w:rPr>
          <w:sz w:val="22"/>
          <w:szCs w:val="22"/>
        </w:rPr>
        <w:t>Показател</w:t>
      </w:r>
      <w:r w:rsidR="003115FD">
        <w:rPr>
          <w:sz w:val="22"/>
          <w:szCs w:val="22"/>
        </w:rPr>
        <w:t>и</w:t>
      </w:r>
      <w:r>
        <w:rPr>
          <w:sz w:val="22"/>
          <w:szCs w:val="22"/>
        </w:rPr>
        <w:t xml:space="preserve"> качества блока питания БП-2-12В уже много лет </w:t>
      </w:r>
      <w:r w:rsidR="00D95287">
        <w:rPr>
          <w:sz w:val="22"/>
          <w:szCs w:val="22"/>
        </w:rPr>
        <w:t xml:space="preserve">держится на </w:t>
      </w:r>
      <w:r w:rsidR="003115FD">
        <w:rPr>
          <w:sz w:val="22"/>
          <w:szCs w:val="22"/>
        </w:rPr>
        <w:t>«</w:t>
      </w:r>
      <w:r w:rsidR="00D95287">
        <w:rPr>
          <w:sz w:val="22"/>
          <w:szCs w:val="22"/>
        </w:rPr>
        <w:t>очень высоком</w:t>
      </w:r>
      <w:r w:rsidR="003115FD">
        <w:rPr>
          <w:sz w:val="22"/>
          <w:szCs w:val="22"/>
        </w:rPr>
        <w:t>»</w:t>
      </w:r>
      <w:r w:rsidR="00D95287">
        <w:rPr>
          <w:sz w:val="22"/>
          <w:szCs w:val="22"/>
        </w:rPr>
        <w:t xml:space="preserve"> уровне. </w:t>
      </w:r>
    </w:p>
    <w:p w:rsidR="007C541B" w:rsidRDefault="003115FD" w:rsidP="003115FD">
      <w:pPr>
        <w:pStyle w:val="2"/>
        <w:spacing w:after="0" w:line="240" w:lineRule="auto"/>
        <w:ind w:left="0" w:firstLine="709"/>
        <w:jc w:val="both"/>
        <w:rPr>
          <w:sz w:val="22"/>
          <w:szCs w:val="22"/>
        </w:rPr>
      </w:pPr>
      <w:r>
        <w:rPr>
          <w:sz w:val="22"/>
          <w:szCs w:val="22"/>
        </w:rPr>
        <w:t>П</w:t>
      </w:r>
      <w:r w:rsidR="007C541B">
        <w:rPr>
          <w:sz w:val="22"/>
          <w:szCs w:val="22"/>
        </w:rPr>
        <w:t>оказател</w:t>
      </w:r>
      <w:r>
        <w:rPr>
          <w:sz w:val="22"/>
          <w:szCs w:val="22"/>
        </w:rPr>
        <w:t>и</w:t>
      </w:r>
      <w:r w:rsidR="007C541B">
        <w:rPr>
          <w:sz w:val="22"/>
          <w:szCs w:val="22"/>
        </w:rPr>
        <w:t xml:space="preserve"> качества блока автоматического регистрационно-свзяного БАРС-02-Р находится на </w:t>
      </w:r>
      <w:r>
        <w:rPr>
          <w:sz w:val="22"/>
          <w:szCs w:val="22"/>
        </w:rPr>
        <w:t>«</w:t>
      </w:r>
      <w:r w:rsidR="007C541B">
        <w:rPr>
          <w:sz w:val="22"/>
          <w:szCs w:val="22"/>
        </w:rPr>
        <w:t>высоком</w:t>
      </w:r>
      <w:r>
        <w:rPr>
          <w:sz w:val="22"/>
          <w:szCs w:val="22"/>
        </w:rPr>
        <w:t>»</w:t>
      </w:r>
      <w:r w:rsidR="007C541B">
        <w:rPr>
          <w:sz w:val="22"/>
          <w:szCs w:val="22"/>
        </w:rPr>
        <w:t xml:space="preserve"> уровне. </w:t>
      </w:r>
      <w:r w:rsidR="007C541B" w:rsidRPr="007C541B">
        <w:rPr>
          <w:sz w:val="22"/>
          <w:szCs w:val="22"/>
        </w:rPr>
        <w:t xml:space="preserve">Процент отказа в 2015 г. БАРС-02-Р, находящихся на гарантийном сроке эксплуатации, составил </w:t>
      </w:r>
      <w:r w:rsidR="007C541B" w:rsidRPr="007C541B">
        <w:rPr>
          <w:bCs/>
          <w:sz w:val="22"/>
          <w:szCs w:val="22"/>
        </w:rPr>
        <w:t>менее 0,1%</w:t>
      </w:r>
      <w:r w:rsidR="007C541B" w:rsidRPr="007C541B">
        <w:rPr>
          <w:sz w:val="22"/>
          <w:szCs w:val="22"/>
        </w:rPr>
        <w:t xml:space="preserve"> в общем объеме продаж за гарантийный интервал.</w:t>
      </w:r>
      <w:r>
        <w:rPr>
          <w:sz w:val="22"/>
          <w:szCs w:val="22"/>
        </w:rPr>
        <w:t xml:space="preserve"> </w:t>
      </w:r>
      <w:r w:rsidR="00AC22FB">
        <w:rPr>
          <w:sz w:val="22"/>
          <w:szCs w:val="22"/>
        </w:rPr>
        <w:t>В результате постоянной работы по усовершенствованию, повышению надежности</w:t>
      </w:r>
      <w:r w:rsidR="00F14333">
        <w:rPr>
          <w:sz w:val="22"/>
          <w:szCs w:val="22"/>
        </w:rPr>
        <w:t xml:space="preserve"> с начала производства «БАРС-02» проведено четыре модернизации:</w:t>
      </w:r>
    </w:p>
    <w:p w:rsidR="00F14333" w:rsidRDefault="00F14333" w:rsidP="00824EAA">
      <w:pPr>
        <w:pStyle w:val="2"/>
        <w:spacing w:after="0" w:line="240" w:lineRule="auto"/>
        <w:ind w:left="0" w:firstLine="709"/>
        <w:jc w:val="both"/>
        <w:rPr>
          <w:sz w:val="22"/>
          <w:szCs w:val="22"/>
        </w:rPr>
      </w:pPr>
      <w:r>
        <w:rPr>
          <w:sz w:val="22"/>
          <w:szCs w:val="22"/>
        </w:rPr>
        <w:t xml:space="preserve">- в 2009 году – появилась версия с </w:t>
      </w:r>
      <w:r>
        <w:rPr>
          <w:sz w:val="22"/>
          <w:szCs w:val="22"/>
          <w:lang w:val="en-US"/>
        </w:rPr>
        <w:t>Ethernet</w:t>
      </w:r>
      <w:r>
        <w:rPr>
          <w:sz w:val="22"/>
          <w:szCs w:val="22"/>
        </w:rPr>
        <w:t xml:space="preserve"> каналом;</w:t>
      </w:r>
    </w:p>
    <w:p w:rsidR="00F14333" w:rsidRDefault="00F14333" w:rsidP="00824EAA">
      <w:pPr>
        <w:pStyle w:val="2"/>
        <w:spacing w:after="0" w:line="240" w:lineRule="auto"/>
        <w:ind w:left="0" w:firstLine="709"/>
        <w:jc w:val="both"/>
        <w:rPr>
          <w:sz w:val="22"/>
          <w:szCs w:val="22"/>
        </w:rPr>
      </w:pPr>
      <w:r>
        <w:rPr>
          <w:sz w:val="22"/>
          <w:szCs w:val="22"/>
        </w:rPr>
        <w:t>- в 2011 году – произошли конструктивные изменения;</w:t>
      </w:r>
    </w:p>
    <w:p w:rsidR="00F14333" w:rsidRDefault="00F14333" w:rsidP="00824EAA">
      <w:pPr>
        <w:pStyle w:val="2"/>
        <w:spacing w:after="0" w:line="240" w:lineRule="auto"/>
        <w:ind w:left="0" w:firstLine="709"/>
        <w:jc w:val="both"/>
        <w:rPr>
          <w:sz w:val="22"/>
          <w:szCs w:val="22"/>
        </w:rPr>
      </w:pPr>
      <w:r>
        <w:rPr>
          <w:sz w:val="22"/>
          <w:szCs w:val="22"/>
        </w:rPr>
        <w:t>- в 2012 году – добавлена функция подключения к двум серверам, уменьшены габариты прибора;</w:t>
      </w:r>
    </w:p>
    <w:p w:rsidR="00F52274" w:rsidRPr="00F52274" w:rsidRDefault="00F14333" w:rsidP="00824EAA">
      <w:pPr>
        <w:pStyle w:val="2"/>
        <w:spacing w:after="0" w:line="240" w:lineRule="auto"/>
        <w:ind w:left="0" w:firstLine="709"/>
        <w:jc w:val="both"/>
        <w:rPr>
          <w:sz w:val="22"/>
          <w:szCs w:val="22"/>
        </w:rPr>
      </w:pPr>
      <w:r>
        <w:rPr>
          <w:sz w:val="22"/>
          <w:szCs w:val="22"/>
        </w:rPr>
        <w:t xml:space="preserve">- в 2014 году – смена аппаратной платформы (использование современной элементной базы), добавился разъем </w:t>
      </w:r>
      <w:r>
        <w:rPr>
          <w:sz w:val="22"/>
          <w:szCs w:val="22"/>
          <w:lang w:val="en-US"/>
        </w:rPr>
        <w:t>mini</w:t>
      </w:r>
      <w:r w:rsidRPr="00F14333">
        <w:rPr>
          <w:sz w:val="22"/>
          <w:szCs w:val="22"/>
        </w:rPr>
        <w:t>-</w:t>
      </w:r>
      <w:r>
        <w:rPr>
          <w:sz w:val="22"/>
          <w:szCs w:val="22"/>
          <w:lang w:val="en-US"/>
        </w:rPr>
        <w:t>USB</w:t>
      </w:r>
      <w:r>
        <w:rPr>
          <w:sz w:val="22"/>
          <w:szCs w:val="22"/>
        </w:rPr>
        <w:t>, появилась возможность монтажа на «</w:t>
      </w:r>
      <w:r>
        <w:rPr>
          <w:sz w:val="22"/>
          <w:szCs w:val="22"/>
          <w:lang w:val="en-US"/>
        </w:rPr>
        <w:t>DIN</w:t>
      </w:r>
      <w:r w:rsidRPr="00F14333">
        <w:rPr>
          <w:sz w:val="22"/>
          <w:szCs w:val="22"/>
        </w:rPr>
        <w:t>-</w:t>
      </w:r>
      <w:r>
        <w:rPr>
          <w:sz w:val="22"/>
          <w:szCs w:val="22"/>
        </w:rPr>
        <w:t xml:space="preserve">рейку», удешевление конструкции, питание обеспечивается от внешнего источника питания 12(±1,8)В, имеется возможность подключения одного устройства </w:t>
      </w:r>
      <w:r w:rsidR="001C3557">
        <w:rPr>
          <w:sz w:val="22"/>
          <w:szCs w:val="22"/>
        </w:rPr>
        <w:t xml:space="preserve">через последовательный порт </w:t>
      </w:r>
      <w:r w:rsidR="001C3557">
        <w:rPr>
          <w:sz w:val="22"/>
          <w:szCs w:val="22"/>
          <w:lang w:val="en-US"/>
        </w:rPr>
        <w:t>RS</w:t>
      </w:r>
      <w:r w:rsidR="001C3557" w:rsidRPr="001C3557">
        <w:rPr>
          <w:sz w:val="22"/>
          <w:szCs w:val="22"/>
        </w:rPr>
        <w:t>-232</w:t>
      </w:r>
      <w:r w:rsidR="001C3557">
        <w:rPr>
          <w:sz w:val="22"/>
          <w:szCs w:val="22"/>
        </w:rPr>
        <w:t xml:space="preserve"> и до 32</w:t>
      </w:r>
      <w:r w:rsidR="008549D7">
        <w:rPr>
          <w:sz w:val="22"/>
          <w:szCs w:val="22"/>
        </w:rPr>
        <w:t xml:space="preserve"> устройств по </w:t>
      </w:r>
      <w:r w:rsidR="008549D7">
        <w:rPr>
          <w:sz w:val="22"/>
          <w:szCs w:val="22"/>
          <w:lang w:val="en-US"/>
        </w:rPr>
        <w:t>RS</w:t>
      </w:r>
      <w:r w:rsidR="008549D7" w:rsidRPr="008549D7">
        <w:rPr>
          <w:sz w:val="22"/>
          <w:szCs w:val="22"/>
        </w:rPr>
        <w:t xml:space="preserve">-485 </w:t>
      </w:r>
      <w:r w:rsidR="008549D7">
        <w:rPr>
          <w:sz w:val="22"/>
          <w:szCs w:val="22"/>
        </w:rPr>
        <w:t>интерфейсу.</w:t>
      </w:r>
    </w:p>
    <w:p w:rsidR="00F52274" w:rsidRPr="00F52274" w:rsidRDefault="00F52274" w:rsidP="00824EAA">
      <w:pPr>
        <w:spacing w:line="240" w:lineRule="auto"/>
        <w:ind w:firstLine="709"/>
        <w:jc w:val="both"/>
        <w:rPr>
          <w:rFonts w:ascii="Times New Roman" w:hAnsi="Times New Roman"/>
        </w:rPr>
      </w:pPr>
      <w:r w:rsidRPr="00F52274">
        <w:rPr>
          <w:rFonts w:ascii="Times New Roman" w:hAnsi="Times New Roman"/>
        </w:rPr>
        <w:t xml:space="preserve">ЗАО «ПромСервис», как один из ведущих производителей на рынке приборной продукции, поддерживает качество своих приборов на высоком уровне и проводит политику постоянного улучшения </w:t>
      </w:r>
      <w:r w:rsidR="003115FD">
        <w:rPr>
          <w:rFonts w:ascii="Times New Roman" w:hAnsi="Times New Roman"/>
        </w:rPr>
        <w:t xml:space="preserve">её </w:t>
      </w:r>
      <w:r w:rsidRPr="00F52274">
        <w:rPr>
          <w:rFonts w:ascii="Times New Roman" w:hAnsi="Times New Roman"/>
        </w:rPr>
        <w:t xml:space="preserve">характеристик </w:t>
      </w:r>
      <w:r w:rsidR="003115FD">
        <w:rPr>
          <w:rFonts w:ascii="Times New Roman" w:hAnsi="Times New Roman"/>
        </w:rPr>
        <w:t>и потребительских свойств</w:t>
      </w:r>
      <w:r w:rsidRPr="00F52274">
        <w:rPr>
          <w:rFonts w:ascii="Times New Roman" w:hAnsi="Times New Roman"/>
        </w:rPr>
        <w:t>.</w:t>
      </w:r>
    </w:p>
    <w:p w:rsidR="00F14333" w:rsidRDefault="00F14333" w:rsidP="007C541B">
      <w:pPr>
        <w:pStyle w:val="2"/>
        <w:spacing w:after="0" w:line="240" w:lineRule="auto"/>
        <w:ind w:left="0" w:firstLine="709"/>
        <w:jc w:val="both"/>
        <w:rPr>
          <w:sz w:val="22"/>
          <w:szCs w:val="22"/>
        </w:rPr>
      </w:pPr>
      <w:r>
        <w:rPr>
          <w:sz w:val="22"/>
          <w:szCs w:val="22"/>
        </w:rPr>
        <w:t xml:space="preserve"> </w:t>
      </w:r>
    </w:p>
    <w:p w:rsidR="003115FD" w:rsidRPr="00F14333" w:rsidRDefault="003115FD" w:rsidP="007C541B">
      <w:pPr>
        <w:pStyle w:val="2"/>
        <w:spacing w:after="0" w:line="240" w:lineRule="auto"/>
        <w:ind w:left="0" w:firstLine="709"/>
        <w:jc w:val="both"/>
        <w:rPr>
          <w:sz w:val="22"/>
          <w:szCs w:val="22"/>
        </w:rPr>
      </w:pPr>
    </w:p>
    <w:p w:rsidR="001806D1" w:rsidRPr="00650468" w:rsidRDefault="003115FD" w:rsidP="001806D1">
      <w:pPr>
        <w:spacing w:after="0"/>
        <w:jc w:val="right"/>
        <w:rPr>
          <w:rFonts w:ascii="Times New Roman" w:hAnsi="Times New Roman"/>
          <w:sz w:val="24"/>
          <w:szCs w:val="24"/>
        </w:rPr>
      </w:pPr>
      <w:r>
        <w:rPr>
          <w:rFonts w:ascii="Times New Roman" w:hAnsi="Times New Roman"/>
          <w:b/>
          <w:sz w:val="24"/>
          <w:szCs w:val="24"/>
        </w:rPr>
        <w:t>Т</w:t>
      </w:r>
      <w:r w:rsidR="001806D1" w:rsidRPr="00650468">
        <w:rPr>
          <w:rFonts w:ascii="Times New Roman" w:hAnsi="Times New Roman"/>
          <w:b/>
          <w:sz w:val="24"/>
          <w:szCs w:val="24"/>
        </w:rPr>
        <w:t>онеев Станислав Владимирович</w:t>
      </w:r>
      <w:r w:rsidR="001806D1" w:rsidRPr="00650468">
        <w:rPr>
          <w:rFonts w:ascii="Times New Roman" w:hAnsi="Times New Roman"/>
          <w:sz w:val="24"/>
          <w:szCs w:val="24"/>
        </w:rPr>
        <w:t>,</w:t>
      </w:r>
    </w:p>
    <w:p w:rsidR="00F52274" w:rsidRPr="002B1B03" w:rsidRDefault="00F52274" w:rsidP="001806D1">
      <w:pPr>
        <w:spacing w:after="0"/>
        <w:jc w:val="right"/>
        <w:rPr>
          <w:rFonts w:ascii="Times New Roman" w:hAnsi="Times New Roman"/>
          <w:sz w:val="24"/>
          <w:szCs w:val="24"/>
        </w:rPr>
      </w:pPr>
      <w:r>
        <w:rPr>
          <w:rFonts w:ascii="Times New Roman" w:hAnsi="Times New Roman"/>
          <w:sz w:val="24"/>
          <w:szCs w:val="24"/>
        </w:rPr>
        <w:t>начальник</w:t>
      </w:r>
      <w:r w:rsidR="001806D1" w:rsidRPr="00650468">
        <w:rPr>
          <w:rFonts w:ascii="Times New Roman" w:hAnsi="Times New Roman"/>
          <w:sz w:val="24"/>
          <w:szCs w:val="24"/>
        </w:rPr>
        <w:t xml:space="preserve"> службы технической поддержки</w:t>
      </w:r>
      <w:r w:rsidR="00650468">
        <w:rPr>
          <w:rFonts w:ascii="Times New Roman" w:hAnsi="Times New Roman"/>
          <w:sz w:val="24"/>
          <w:szCs w:val="24"/>
        </w:rPr>
        <w:t xml:space="preserve"> </w:t>
      </w:r>
    </w:p>
    <w:p w:rsidR="001806D1" w:rsidRPr="00650468" w:rsidRDefault="00650468" w:rsidP="001806D1">
      <w:pPr>
        <w:spacing w:after="0"/>
        <w:jc w:val="right"/>
        <w:rPr>
          <w:rFonts w:ascii="Times New Roman" w:hAnsi="Times New Roman"/>
          <w:sz w:val="24"/>
          <w:szCs w:val="24"/>
        </w:rPr>
      </w:pPr>
      <w:r>
        <w:rPr>
          <w:rFonts w:ascii="Times New Roman" w:hAnsi="Times New Roman"/>
          <w:sz w:val="24"/>
          <w:szCs w:val="24"/>
        </w:rPr>
        <w:t>ЗАО «ПромСервис».</w:t>
      </w:r>
    </w:p>
    <w:p w:rsidR="00F52274" w:rsidRPr="00581F1C" w:rsidRDefault="00F52274" w:rsidP="00F52274">
      <w:pPr>
        <w:spacing w:after="0" w:line="240" w:lineRule="auto"/>
        <w:ind w:firstLine="709"/>
        <w:jc w:val="right"/>
        <w:rPr>
          <w:rFonts w:ascii="Times New Roman" w:hAnsi="Times New Roman"/>
          <w:sz w:val="24"/>
          <w:szCs w:val="24"/>
        </w:rPr>
      </w:pPr>
      <w:r w:rsidRPr="00581F1C">
        <w:rPr>
          <w:rFonts w:ascii="Times New Roman" w:hAnsi="Times New Roman"/>
          <w:sz w:val="24"/>
          <w:szCs w:val="24"/>
        </w:rPr>
        <w:t>г. Димитровград,  т/ф (84235)  4-35-86.</w:t>
      </w:r>
    </w:p>
    <w:p w:rsidR="00650468" w:rsidRPr="00822A83" w:rsidRDefault="00650468" w:rsidP="00F52274">
      <w:pPr>
        <w:spacing w:after="0" w:line="240" w:lineRule="auto"/>
        <w:jc w:val="right"/>
        <w:rPr>
          <w:rFonts w:ascii="Times New Roman" w:hAnsi="Times New Roman"/>
          <w:sz w:val="24"/>
          <w:szCs w:val="24"/>
          <w:lang w:val="en-US"/>
        </w:rPr>
      </w:pPr>
      <w:r>
        <w:rPr>
          <w:rFonts w:ascii="Times New Roman" w:hAnsi="Times New Roman"/>
          <w:sz w:val="24"/>
          <w:szCs w:val="24"/>
          <w:lang w:val="en-US"/>
        </w:rPr>
        <w:t>E</w:t>
      </w:r>
      <w:r w:rsidRPr="00822A83">
        <w:rPr>
          <w:rFonts w:ascii="Times New Roman" w:hAnsi="Times New Roman"/>
          <w:sz w:val="24"/>
          <w:szCs w:val="24"/>
          <w:lang w:val="en-US"/>
        </w:rPr>
        <w:t>-</w:t>
      </w:r>
      <w:r>
        <w:rPr>
          <w:rFonts w:ascii="Times New Roman" w:hAnsi="Times New Roman"/>
          <w:sz w:val="24"/>
          <w:szCs w:val="24"/>
          <w:lang w:val="en-US"/>
        </w:rPr>
        <w:t>mail</w:t>
      </w:r>
      <w:r w:rsidRPr="00822A83">
        <w:rPr>
          <w:rFonts w:ascii="Times New Roman" w:hAnsi="Times New Roman"/>
          <w:sz w:val="24"/>
          <w:szCs w:val="24"/>
          <w:lang w:val="en-US"/>
        </w:rPr>
        <w:t xml:space="preserve">: </w:t>
      </w:r>
      <w:hyperlink r:id="rId8" w:history="1">
        <w:r w:rsidR="00F52274" w:rsidRPr="008651D1">
          <w:rPr>
            <w:rStyle w:val="a4"/>
            <w:rFonts w:ascii="Times New Roman" w:hAnsi="Times New Roman"/>
            <w:sz w:val="24"/>
            <w:szCs w:val="24"/>
            <w:lang w:val="en-US"/>
          </w:rPr>
          <w:t>support</w:t>
        </w:r>
        <w:r w:rsidR="00F52274" w:rsidRPr="00822A83">
          <w:rPr>
            <w:rStyle w:val="a4"/>
            <w:rFonts w:ascii="Times New Roman" w:hAnsi="Times New Roman"/>
            <w:sz w:val="24"/>
            <w:szCs w:val="24"/>
            <w:lang w:val="en-US"/>
          </w:rPr>
          <w:t>@</w:t>
        </w:r>
        <w:r w:rsidR="00F52274" w:rsidRPr="008651D1">
          <w:rPr>
            <w:rStyle w:val="a4"/>
            <w:rFonts w:ascii="Times New Roman" w:hAnsi="Times New Roman"/>
            <w:sz w:val="24"/>
            <w:szCs w:val="24"/>
            <w:lang w:val="en-US"/>
          </w:rPr>
          <w:t>promservis</w:t>
        </w:r>
        <w:r w:rsidR="00F52274" w:rsidRPr="00822A83">
          <w:rPr>
            <w:rStyle w:val="a4"/>
            <w:rFonts w:ascii="Times New Roman" w:hAnsi="Times New Roman"/>
            <w:sz w:val="24"/>
            <w:szCs w:val="24"/>
            <w:lang w:val="en-US"/>
          </w:rPr>
          <w:t>.</w:t>
        </w:r>
        <w:r w:rsidR="00F52274" w:rsidRPr="008651D1">
          <w:rPr>
            <w:rStyle w:val="a4"/>
            <w:rFonts w:ascii="Times New Roman" w:hAnsi="Times New Roman"/>
            <w:sz w:val="24"/>
            <w:szCs w:val="24"/>
            <w:lang w:val="en-US"/>
          </w:rPr>
          <w:t>ru</w:t>
        </w:r>
      </w:hyperlink>
      <w:r w:rsidRPr="00822A83">
        <w:rPr>
          <w:rFonts w:ascii="Times New Roman" w:hAnsi="Times New Roman"/>
          <w:sz w:val="24"/>
          <w:szCs w:val="24"/>
          <w:lang w:val="en-US"/>
        </w:rPr>
        <w:t xml:space="preserve"> </w:t>
      </w:r>
    </w:p>
    <w:p w:rsidR="00650468" w:rsidRPr="002B1B03" w:rsidRDefault="00824104" w:rsidP="00650468">
      <w:pPr>
        <w:spacing w:after="0" w:line="240" w:lineRule="auto"/>
        <w:jc w:val="right"/>
        <w:rPr>
          <w:rFonts w:ascii="Times New Roman" w:hAnsi="Times New Roman"/>
          <w:sz w:val="24"/>
          <w:szCs w:val="24"/>
          <w:lang w:val="en-US"/>
        </w:rPr>
      </w:pPr>
      <w:hyperlink r:id="rId9" w:history="1">
        <w:r w:rsidR="00650468" w:rsidRPr="00650468">
          <w:rPr>
            <w:rStyle w:val="a4"/>
            <w:rFonts w:ascii="Times New Roman" w:hAnsi="Times New Roman"/>
            <w:color w:val="auto"/>
            <w:sz w:val="24"/>
            <w:szCs w:val="24"/>
            <w:lang w:val="en-US"/>
          </w:rPr>
          <w:t>www</w:t>
        </w:r>
        <w:r w:rsidR="00650468" w:rsidRPr="002B1B03">
          <w:rPr>
            <w:rStyle w:val="a4"/>
            <w:rFonts w:ascii="Times New Roman" w:hAnsi="Times New Roman"/>
            <w:color w:val="auto"/>
            <w:sz w:val="24"/>
            <w:szCs w:val="24"/>
            <w:lang w:val="en-US"/>
          </w:rPr>
          <w:t>.</w:t>
        </w:r>
        <w:r w:rsidR="00650468" w:rsidRPr="00650468">
          <w:rPr>
            <w:rStyle w:val="a4"/>
            <w:rFonts w:ascii="Times New Roman" w:hAnsi="Times New Roman"/>
            <w:color w:val="auto"/>
            <w:sz w:val="24"/>
            <w:szCs w:val="24"/>
            <w:lang w:val="en-US"/>
          </w:rPr>
          <w:t>promservis</w:t>
        </w:r>
        <w:r w:rsidR="00650468" w:rsidRPr="002B1B03">
          <w:rPr>
            <w:rStyle w:val="a4"/>
            <w:rFonts w:ascii="Times New Roman" w:hAnsi="Times New Roman"/>
            <w:color w:val="auto"/>
            <w:sz w:val="24"/>
            <w:szCs w:val="24"/>
            <w:lang w:val="en-US"/>
          </w:rPr>
          <w:t>.</w:t>
        </w:r>
        <w:r w:rsidR="00650468" w:rsidRPr="00650468">
          <w:rPr>
            <w:rStyle w:val="a4"/>
            <w:rFonts w:ascii="Times New Roman" w:hAnsi="Times New Roman"/>
            <w:color w:val="auto"/>
            <w:sz w:val="24"/>
            <w:szCs w:val="24"/>
            <w:lang w:val="en-US"/>
          </w:rPr>
          <w:t>ru</w:t>
        </w:r>
      </w:hyperlink>
      <w:r w:rsidR="00650468" w:rsidRPr="002B1B03">
        <w:rPr>
          <w:rFonts w:ascii="Times New Roman" w:hAnsi="Times New Roman"/>
          <w:sz w:val="24"/>
          <w:szCs w:val="24"/>
          <w:lang w:val="en-US"/>
        </w:rPr>
        <w:t>.</w:t>
      </w:r>
    </w:p>
    <w:p w:rsidR="00B62B50" w:rsidRPr="002B1B03" w:rsidRDefault="00B62B50" w:rsidP="001806D1">
      <w:pPr>
        <w:jc w:val="center"/>
        <w:rPr>
          <w:lang w:val="en-US"/>
        </w:rPr>
      </w:pPr>
    </w:p>
    <w:sectPr w:rsidR="00B62B50" w:rsidRPr="002B1B03" w:rsidSect="000F2FC7">
      <w:headerReference w:type="default" r:id="rId10"/>
      <w:footerReference w:type="default" r:id="rId11"/>
      <w:pgSz w:w="11906" w:h="16838"/>
      <w:pgMar w:top="1134" w:right="850" w:bottom="1134" w:left="1134" w:header="708" w:footer="708" w:gutter="0"/>
      <w:pgNumType w:start="15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983" w:rsidRDefault="004A0983" w:rsidP="007661FE">
      <w:pPr>
        <w:spacing w:after="0" w:line="240" w:lineRule="auto"/>
      </w:pPr>
      <w:r>
        <w:separator/>
      </w:r>
    </w:p>
  </w:endnote>
  <w:endnote w:type="continuationSeparator" w:id="1">
    <w:p w:rsidR="004A0983" w:rsidRDefault="004A0983" w:rsidP="00766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43795"/>
      <w:docPartObj>
        <w:docPartGallery w:val="Page Numbers (Bottom of Page)"/>
        <w:docPartUnique/>
      </w:docPartObj>
    </w:sdtPr>
    <w:sdtContent>
      <w:p w:rsidR="008F6F1E" w:rsidRDefault="00824104" w:rsidP="008F6F1E">
        <w:pPr>
          <w:pStyle w:val="a9"/>
          <w:spacing w:after="0" w:line="240" w:lineRule="auto"/>
          <w:jc w:val="center"/>
        </w:pPr>
        <w:r w:rsidRPr="008F6F1E">
          <w:rPr>
            <w:rFonts w:ascii="Times New Roman" w:hAnsi="Times New Roman"/>
            <w:sz w:val="24"/>
            <w:szCs w:val="24"/>
          </w:rPr>
          <w:fldChar w:fldCharType="begin"/>
        </w:r>
        <w:r w:rsidR="008F6F1E" w:rsidRPr="008F6F1E">
          <w:rPr>
            <w:rFonts w:ascii="Times New Roman" w:hAnsi="Times New Roman"/>
            <w:sz w:val="24"/>
            <w:szCs w:val="24"/>
          </w:rPr>
          <w:instrText xml:space="preserve"> PAGE   \* MERGEFORMAT </w:instrText>
        </w:r>
        <w:r w:rsidRPr="008F6F1E">
          <w:rPr>
            <w:rFonts w:ascii="Times New Roman" w:hAnsi="Times New Roman"/>
            <w:sz w:val="24"/>
            <w:szCs w:val="24"/>
          </w:rPr>
          <w:fldChar w:fldCharType="separate"/>
        </w:r>
        <w:r w:rsidR="00AF6597">
          <w:rPr>
            <w:rFonts w:ascii="Times New Roman" w:hAnsi="Times New Roman"/>
            <w:noProof/>
            <w:sz w:val="24"/>
            <w:szCs w:val="24"/>
          </w:rPr>
          <w:t>156</w:t>
        </w:r>
        <w:r w:rsidRPr="008F6F1E">
          <w:rPr>
            <w:rFonts w:ascii="Times New Roman" w:hAnsi="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983" w:rsidRDefault="004A0983" w:rsidP="007661FE">
      <w:pPr>
        <w:spacing w:after="0" w:line="240" w:lineRule="auto"/>
      </w:pPr>
      <w:r>
        <w:separator/>
      </w:r>
    </w:p>
  </w:footnote>
  <w:footnote w:type="continuationSeparator" w:id="1">
    <w:p w:rsidR="004A0983" w:rsidRDefault="004A0983" w:rsidP="007661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468" w:rsidRDefault="008F6F1E" w:rsidP="00650468">
    <w:pPr>
      <w:pStyle w:val="a7"/>
      <w:spacing w:after="0"/>
    </w:pPr>
    <w:r>
      <w:rPr>
        <w:noProof/>
      </w:rPr>
      <w:drawing>
        <wp:inline distT="0" distB="0" distL="0" distR="0">
          <wp:extent cx="6300470" cy="474980"/>
          <wp:effectExtent l="19050" t="0" r="5080" b="0"/>
          <wp:docPr id="1" name="Рисунок 0" descr="Колонтитул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лонтитул_2016.png"/>
                  <pic:cNvPicPr/>
                </pic:nvPicPr>
                <pic:blipFill>
                  <a:blip r:embed="rId1"/>
                  <a:stretch>
                    <a:fillRect/>
                  </a:stretch>
                </pic:blipFill>
                <pic:spPr>
                  <a:xfrm>
                    <a:off x="0" y="0"/>
                    <a:ext cx="6300470" cy="474980"/>
                  </a:xfrm>
                  <a:prstGeom prst="rect">
                    <a:avLst/>
                  </a:prstGeom>
                </pic:spPr>
              </pic:pic>
            </a:graphicData>
          </a:graphic>
        </wp:inline>
      </w:drawing>
    </w:r>
  </w:p>
  <w:p w:rsidR="00650468" w:rsidRPr="00650468" w:rsidRDefault="00650468" w:rsidP="00650468">
    <w:pPr>
      <w:pStyle w:val="a7"/>
      <w:spacing w:after="0"/>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2A25"/>
    <w:multiLevelType w:val="hybridMultilevel"/>
    <w:tmpl w:val="01F09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384E73"/>
    <w:multiLevelType w:val="hybridMultilevel"/>
    <w:tmpl w:val="CF8013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250CA3"/>
    <w:multiLevelType w:val="hybridMultilevel"/>
    <w:tmpl w:val="FB488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171F5"/>
    <w:multiLevelType w:val="hybridMultilevel"/>
    <w:tmpl w:val="D1240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5692C"/>
    <w:multiLevelType w:val="hybridMultilevel"/>
    <w:tmpl w:val="2CAACF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17A1A30"/>
    <w:multiLevelType w:val="hybridMultilevel"/>
    <w:tmpl w:val="7DC8F30A"/>
    <w:lvl w:ilvl="0" w:tplc="8B2CC07C">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AB10AC"/>
    <w:multiLevelType w:val="hybridMultilevel"/>
    <w:tmpl w:val="63B8F59A"/>
    <w:lvl w:ilvl="0" w:tplc="B30EB3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33A478C"/>
    <w:multiLevelType w:val="hybridMultilevel"/>
    <w:tmpl w:val="65445C46"/>
    <w:lvl w:ilvl="0" w:tplc="C85289F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F8E4117"/>
    <w:multiLevelType w:val="hybridMultilevel"/>
    <w:tmpl w:val="3800D160"/>
    <w:lvl w:ilvl="0" w:tplc="B5E475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EE41C14"/>
    <w:multiLevelType w:val="hybridMultilevel"/>
    <w:tmpl w:val="CA6AD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A3326F"/>
    <w:multiLevelType w:val="hybridMultilevel"/>
    <w:tmpl w:val="F68AB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22051E"/>
    <w:multiLevelType w:val="hybridMultilevel"/>
    <w:tmpl w:val="B3FEC994"/>
    <w:lvl w:ilvl="0" w:tplc="050CE8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2FA283E"/>
    <w:multiLevelType w:val="hybridMultilevel"/>
    <w:tmpl w:val="1A6AA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4B1277"/>
    <w:multiLevelType w:val="hybridMultilevel"/>
    <w:tmpl w:val="D70A4A94"/>
    <w:lvl w:ilvl="0" w:tplc="08422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BDD13EC"/>
    <w:multiLevelType w:val="hybridMultilevel"/>
    <w:tmpl w:val="EE6E7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5C4FA2"/>
    <w:multiLevelType w:val="hybridMultilevel"/>
    <w:tmpl w:val="A3384C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DB395A"/>
    <w:multiLevelType w:val="hybridMultilevel"/>
    <w:tmpl w:val="3306E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06551A"/>
    <w:multiLevelType w:val="hybridMultilevel"/>
    <w:tmpl w:val="013A7B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DEF184B"/>
    <w:multiLevelType w:val="hybridMultilevel"/>
    <w:tmpl w:val="5AA60F14"/>
    <w:lvl w:ilvl="0" w:tplc="5BF2B7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0"/>
  </w:num>
  <w:num w:numId="3">
    <w:abstractNumId w:val="8"/>
  </w:num>
  <w:num w:numId="4">
    <w:abstractNumId w:val="3"/>
  </w:num>
  <w:num w:numId="5">
    <w:abstractNumId w:val="18"/>
  </w:num>
  <w:num w:numId="6">
    <w:abstractNumId w:val="15"/>
  </w:num>
  <w:num w:numId="7">
    <w:abstractNumId w:val="1"/>
  </w:num>
  <w:num w:numId="8">
    <w:abstractNumId w:val="17"/>
  </w:num>
  <w:num w:numId="9">
    <w:abstractNumId w:val="7"/>
  </w:num>
  <w:num w:numId="10">
    <w:abstractNumId w:val="9"/>
  </w:num>
  <w:num w:numId="11">
    <w:abstractNumId w:val="14"/>
  </w:num>
  <w:num w:numId="12">
    <w:abstractNumId w:val="10"/>
  </w:num>
  <w:num w:numId="13">
    <w:abstractNumId w:val="4"/>
  </w:num>
  <w:num w:numId="14">
    <w:abstractNumId w:val="5"/>
  </w:num>
  <w:num w:numId="15">
    <w:abstractNumId w:val="6"/>
  </w:num>
  <w:num w:numId="16">
    <w:abstractNumId w:val="13"/>
  </w:num>
  <w:num w:numId="17">
    <w:abstractNumId w:val="11"/>
  </w:num>
  <w:num w:numId="18">
    <w:abstractNumId w:val="12"/>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29698"/>
  </w:hdrShapeDefaults>
  <w:footnotePr>
    <w:footnote w:id="0"/>
    <w:footnote w:id="1"/>
  </w:footnotePr>
  <w:endnotePr>
    <w:endnote w:id="0"/>
    <w:endnote w:id="1"/>
  </w:endnotePr>
  <w:compat/>
  <w:rsids>
    <w:rsidRoot w:val="003129E6"/>
    <w:rsid w:val="00006BC0"/>
    <w:rsid w:val="00010BD3"/>
    <w:rsid w:val="00013866"/>
    <w:rsid w:val="000266D3"/>
    <w:rsid w:val="00043802"/>
    <w:rsid w:val="000636DD"/>
    <w:rsid w:val="00067A85"/>
    <w:rsid w:val="00070811"/>
    <w:rsid w:val="00073D36"/>
    <w:rsid w:val="000835D5"/>
    <w:rsid w:val="000A62C1"/>
    <w:rsid w:val="000C3A20"/>
    <w:rsid w:val="000C46E4"/>
    <w:rsid w:val="000D0ECE"/>
    <w:rsid w:val="000D4A38"/>
    <w:rsid w:val="000F14DF"/>
    <w:rsid w:val="000F2FC7"/>
    <w:rsid w:val="000F6E3D"/>
    <w:rsid w:val="00126952"/>
    <w:rsid w:val="001453BC"/>
    <w:rsid w:val="00152360"/>
    <w:rsid w:val="001557AC"/>
    <w:rsid w:val="001772D5"/>
    <w:rsid w:val="00180575"/>
    <w:rsid w:val="001806D1"/>
    <w:rsid w:val="00181B40"/>
    <w:rsid w:val="001948A0"/>
    <w:rsid w:val="00195053"/>
    <w:rsid w:val="00197856"/>
    <w:rsid w:val="001A1959"/>
    <w:rsid w:val="001A24CB"/>
    <w:rsid w:val="001B5C1C"/>
    <w:rsid w:val="001C3557"/>
    <w:rsid w:val="001D093B"/>
    <w:rsid w:val="001D4C5A"/>
    <w:rsid w:val="001D5231"/>
    <w:rsid w:val="001E7A3B"/>
    <w:rsid w:val="00211892"/>
    <w:rsid w:val="00215297"/>
    <w:rsid w:val="002169D5"/>
    <w:rsid w:val="00246D90"/>
    <w:rsid w:val="002A2224"/>
    <w:rsid w:val="002A5259"/>
    <w:rsid w:val="002B1B03"/>
    <w:rsid w:val="002C09C2"/>
    <w:rsid w:val="002D6454"/>
    <w:rsid w:val="002E559A"/>
    <w:rsid w:val="003029DB"/>
    <w:rsid w:val="00304270"/>
    <w:rsid w:val="00306839"/>
    <w:rsid w:val="003115FD"/>
    <w:rsid w:val="003129E6"/>
    <w:rsid w:val="0033107B"/>
    <w:rsid w:val="0034122F"/>
    <w:rsid w:val="0035120A"/>
    <w:rsid w:val="00370C9D"/>
    <w:rsid w:val="00380F4E"/>
    <w:rsid w:val="003874A2"/>
    <w:rsid w:val="00390471"/>
    <w:rsid w:val="003B47F6"/>
    <w:rsid w:val="003D1347"/>
    <w:rsid w:val="003D3640"/>
    <w:rsid w:val="003F1786"/>
    <w:rsid w:val="00417985"/>
    <w:rsid w:val="0042174C"/>
    <w:rsid w:val="004867E1"/>
    <w:rsid w:val="00493C9F"/>
    <w:rsid w:val="004A0983"/>
    <w:rsid w:val="004B1349"/>
    <w:rsid w:val="004E24CE"/>
    <w:rsid w:val="004E3377"/>
    <w:rsid w:val="005028EB"/>
    <w:rsid w:val="00505CE4"/>
    <w:rsid w:val="0051433A"/>
    <w:rsid w:val="005303D1"/>
    <w:rsid w:val="0053393F"/>
    <w:rsid w:val="0053505B"/>
    <w:rsid w:val="005445D1"/>
    <w:rsid w:val="005A2A3F"/>
    <w:rsid w:val="005B3D6C"/>
    <w:rsid w:val="005E30E4"/>
    <w:rsid w:val="005F0939"/>
    <w:rsid w:val="005F58D2"/>
    <w:rsid w:val="00602FCF"/>
    <w:rsid w:val="006139F8"/>
    <w:rsid w:val="00625B56"/>
    <w:rsid w:val="00626208"/>
    <w:rsid w:val="006350F6"/>
    <w:rsid w:val="00650468"/>
    <w:rsid w:val="00652136"/>
    <w:rsid w:val="00670BEA"/>
    <w:rsid w:val="0067710C"/>
    <w:rsid w:val="006872B5"/>
    <w:rsid w:val="00687C62"/>
    <w:rsid w:val="00697A63"/>
    <w:rsid w:val="006A0BA8"/>
    <w:rsid w:val="006C0F60"/>
    <w:rsid w:val="006D3DB5"/>
    <w:rsid w:val="006E795E"/>
    <w:rsid w:val="006F5689"/>
    <w:rsid w:val="007415D7"/>
    <w:rsid w:val="007661FE"/>
    <w:rsid w:val="007836A3"/>
    <w:rsid w:val="00790D62"/>
    <w:rsid w:val="00791557"/>
    <w:rsid w:val="007B06B6"/>
    <w:rsid w:val="007C2C93"/>
    <w:rsid w:val="007C541B"/>
    <w:rsid w:val="007F2CF5"/>
    <w:rsid w:val="0081145F"/>
    <w:rsid w:val="008201FD"/>
    <w:rsid w:val="00822A83"/>
    <w:rsid w:val="00824104"/>
    <w:rsid w:val="008243E8"/>
    <w:rsid w:val="008243EF"/>
    <w:rsid w:val="00824EAA"/>
    <w:rsid w:val="00831208"/>
    <w:rsid w:val="008332F3"/>
    <w:rsid w:val="008549D7"/>
    <w:rsid w:val="008765EF"/>
    <w:rsid w:val="00876DC1"/>
    <w:rsid w:val="00884C07"/>
    <w:rsid w:val="00890B42"/>
    <w:rsid w:val="008A57AC"/>
    <w:rsid w:val="008B61AC"/>
    <w:rsid w:val="008C305D"/>
    <w:rsid w:val="008C7939"/>
    <w:rsid w:val="008D6D09"/>
    <w:rsid w:val="008E15A4"/>
    <w:rsid w:val="008E2290"/>
    <w:rsid w:val="008F34B9"/>
    <w:rsid w:val="008F6F1E"/>
    <w:rsid w:val="00900837"/>
    <w:rsid w:val="00914A82"/>
    <w:rsid w:val="009172BE"/>
    <w:rsid w:val="00942909"/>
    <w:rsid w:val="00944432"/>
    <w:rsid w:val="00951877"/>
    <w:rsid w:val="009829D9"/>
    <w:rsid w:val="0098405F"/>
    <w:rsid w:val="00986BD3"/>
    <w:rsid w:val="009870C4"/>
    <w:rsid w:val="00995987"/>
    <w:rsid w:val="009A64EB"/>
    <w:rsid w:val="009C1385"/>
    <w:rsid w:val="009C27B4"/>
    <w:rsid w:val="009F7255"/>
    <w:rsid w:val="00A0316B"/>
    <w:rsid w:val="00A11D5B"/>
    <w:rsid w:val="00A21EC5"/>
    <w:rsid w:val="00A22B2A"/>
    <w:rsid w:val="00A33209"/>
    <w:rsid w:val="00A4193D"/>
    <w:rsid w:val="00A650D0"/>
    <w:rsid w:val="00A9157C"/>
    <w:rsid w:val="00A92831"/>
    <w:rsid w:val="00AA6D09"/>
    <w:rsid w:val="00AB2249"/>
    <w:rsid w:val="00AB27D2"/>
    <w:rsid w:val="00AB507A"/>
    <w:rsid w:val="00AC22FB"/>
    <w:rsid w:val="00AD7454"/>
    <w:rsid w:val="00AF55A6"/>
    <w:rsid w:val="00AF6597"/>
    <w:rsid w:val="00B02D2F"/>
    <w:rsid w:val="00B0659A"/>
    <w:rsid w:val="00B211AF"/>
    <w:rsid w:val="00B32C10"/>
    <w:rsid w:val="00B50EEC"/>
    <w:rsid w:val="00B55223"/>
    <w:rsid w:val="00B62B50"/>
    <w:rsid w:val="00BA4514"/>
    <w:rsid w:val="00BB4C50"/>
    <w:rsid w:val="00BC0422"/>
    <w:rsid w:val="00BC3F8D"/>
    <w:rsid w:val="00BD0817"/>
    <w:rsid w:val="00BE62BE"/>
    <w:rsid w:val="00BF64FF"/>
    <w:rsid w:val="00C2418D"/>
    <w:rsid w:val="00C4219C"/>
    <w:rsid w:val="00C42C35"/>
    <w:rsid w:val="00C457F4"/>
    <w:rsid w:val="00C50C6D"/>
    <w:rsid w:val="00C5726A"/>
    <w:rsid w:val="00C96274"/>
    <w:rsid w:val="00CA0384"/>
    <w:rsid w:val="00CC102F"/>
    <w:rsid w:val="00CC2B9D"/>
    <w:rsid w:val="00CC5A82"/>
    <w:rsid w:val="00CE7B6B"/>
    <w:rsid w:val="00CF7A88"/>
    <w:rsid w:val="00D15352"/>
    <w:rsid w:val="00D16748"/>
    <w:rsid w:val="00D35772"/>
    <w:rsid w:val="00D368F6"/>
    <w:rsid w:val="00D43278"/>
    <w:rsid w:val="00D47846"/>
    <w:rsid w:val="00D539CF"/>
    <w:rsid w:val="00D65EBE"/>
    <w:rsid w:val="00D8778E"/>
    <w:rsid w:val="00D92520"/>
    <w:rsid w:val="00D95287"/>
    <w:rsid w:val="00DB0A8C"/>
    <w:rsid w:val="00DF3722"/>
    <w:rsid w:val="00E13B22"/>
    <w:rsid w:val="00E47B55"/>
    <w:rsid w:val="00E61DFD"/>
    <w:rsid w:val="00E64107"/>
    <w:rsid w:val="00E80776"/>
    <w:rsid w:val="00E84121"/>
    <w:rsid w:val="00EC4547"/>
    <w:rsid w:val="00ED1FC0"/>
    <w:rsid w:val="00EF6B8E"/>
    <w:rsid w:val="00F1134F"/>
    <w:rsid w:val="00F14333"/>
    <w:rsid w:val="00F452F8"/>
    <w:rsid w:val="00F52274"/>
    <w:rsid w:val="00F56758"/>
    <w:rsid w:val="00F817E0"/>
    <w:rsid w:val="00F93A18"/>
    <w:rsid w:val="00F94E46"/>
    <w:rsid w:val="00FA5F3B"/>
    <w:rsid w:val="00FB569A"/>
    <w:rsid w:val="00FC6152"/>
    <w:rsid w:val="00FD5485"/>
    <w:rsid w:val="00FE162E"/>
    <w:rsid w:val="00FF5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EB"/>
    <w:pPr>
      <w:spacing w:after="200" w:line="276" w:lineRule="auto"/>
    </w:pPr>
    <w:rPr>
      <w:sz w:val="22"/>
      <w:szCs w:val="22"/>
    </w:rPr>
  </w:style>
  <w:style w:type="paragraph" w:styleId="1">
    <w:name w:val="heading 1"/>
    <w:basedOn w:val="a"/>
    <w:next w:val="a"/>
    <w:link w:val="10"/>
    <w:uiPriority w:val="9"/>
    <w:qFormat/>
    <w:rsid w:val="006F5689"/>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9E6"/>
    <w:pPr>
      <w:ind w:left="720"/>
      <w:contextualSpacing/>
    </w:pPr>
  </w:style>
  <w:style w:type="character" w:styleId="a4">
    <w:name w:val="Hyperlink"/>
    <w:basedOn w:val="a0"/>
    <w:uiPriority w:val="99"/>
    <w:unhideWhenUsed/>
    <w:rsid w:val="007836A3"/>
    <w:rPr>
      <w:color w:val="0000FF"/>
      <w:u w:val="single"/>
    </w:rPr>
  </w:style>
  <w:style w:type="paragraph" w:customStyle="1" w:styleId="100">
    <w:name w:val="Табло СК10"/>
    <w:basedOn w:val="a"/>
    <w:autoRedefine/>
    <w:rsid w:val="006F5689"/>
    <w:pPr>
      <w:tabs>
        <w:tab w:val="left" w:pos="-720"/>
      </w:tabs>
      <w:spacing w:after="0" w:line="240" w:lineRule="auto"/>
      <w:jc w:val="both"/>
    </w:pPr>
    <w:rPr>
      <w:rFonts w:ascii="Courier New" w:hAnsi="Courier New" w:cs="Courier New"/>
      <w:b/>
      <w:bCs/>
      <w:color w:val="000000"/>
      <w:spacing w:val="-2"/>
      <w:sz w:val="20"/>
      <w:szCs w:val="20"/>
    </w:rPr>
  </w:style>
  <w:style w:type="paragraph" w:customStyle="1" w:styleId="11">
    <w:name w:val="Стиль1"/>
    <w:basedOn w:val="1"/>
    <w:rsid w:val="006F5689"/>
    <w:pPr>
      <w:keepNext w:val="0"/>
      <w:keepLines w:val="0"/>
      <w:widowControl w:val="0"/>
      <w:spacing w:before="0" w:line="240" w:lineRule="auto"/>
      <w:ind w:left="284" w:firstLine="567"/>
      <w:jc w:val="both"/>
      <w:outlineLvl w:val="9"/>
    </w:pPr>
    <w:rPr>
      <w:rFonts w:ascii="Times New Roman" w:hAnsi="Times New Roman"/>
      <w:b w:val="0"/>
      <w:bCs w:val="0"/>
      <w:color w:val="auto"/>
      <w:sz w:val="24"/>
      <w:szCs w:val="24"/>
    </w:rPr>
  </w:style>
  <w:style w:type="character" w:customStyle="1" w:styleId="10">
    <w:name w:val="Заголовок 1 Знак"/>
    <w:basedOn w:val="a0"/>
    <w:link w:val="1"/>
    <w:uiPriority w:val="9"/>
    <w:rsid w:val="006F5689"/>
    <w:rPr>
      <w:rFonts w:ascii="Cambria" w:eastAsia="Times New Roman" w:hAnsi="Cambria" w:cs="Times New Roman"/>
      <w:b/>
      <w:bCs/>
      <w:color w:val="365F91"/>
      <w:sz w:val="28"/>
      <w:szCs w:val="28"/>
    </w:rPr>
  </w:style>
  <w:style w:type="paragraph" w:styleId="a5">
    <w:name w:val="Balloon Text"/>
    <w:basedOn w:val="a"/>
    <w:link w:val="a6"/>
    <w:uiPriority w:val="99"/>
    <w:semiHidden/>
    <w:unhideWhenUsed/>
    <w:rsid w:val="006F56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5689"/>
    <w:rPr>
      <w:rFonts w:ascii="Tahoma" w:hAnsi="Tahoma" w:cs="Tahoma"/>
      <w:sz w:val="16"/>
      <w:szCs w:val="16"/>
    </w:rPr>
  </w:style>
  <w:style w:type="paragraph" w:styleId="a7">
    <w:name w:val="header"/>
    <w:basedOn w:val="a"/>
    <w:link w:val="a8"/>
    <w:uiPriority w:val="99"/>
    <w:semiHidden/>
    <w:unhideWhenUsed/>
    <w:rsid w:val="007661FE"/>
    <w:pPr>
      <w:tabs>
        <w:tab w:val="center" w:pos="4677"/>
        <w:tab w:val="right" w:pos="9355"/>
      </w:tabs>
    </w:pPr>
  </w:style>
  <w:style w:type="character" w:customStyle="1" w:styleId="a8">
    <w:name w:val="Верхний колонтитул Знак"/>
    <w:basedOn w:val="a0"/>
    <w:link w:val="a7"/>
    <w:uiPriority w:val="99"/>
    <w:semiHidden/>
    <w:rsid w:val="007661FE"/>
    <w:rPr>
      <w:sz w:val="22"/>
      <w:szCs w:val="22"/>
    </w:rPr>
  </w:style>
  <w:style w:type="paragraph" w:styleId="a9">
    <w:name w:val="footer"/>
    <w:basedOn w:val="a"/>
    <w:link w:val="aa"/>
    <w:uiPriority w:val="99"/>
    <w:unhideWhenUsed/>
    <w:rsid w:val="007661FE"/>
    <w:pPr>
      <w:tabs>
        <w:tab w:val="center" w:pos="4677"/>
        <w:tab w:val="right" w:pos="9355"/>
      </w:tabs>
    </w:pPr>
  </w:style>
  <w:style w:type="character" w:customStyle="1" w:styleId="aa">
    <w:name w:val="Нижний колонтитул Знак"/>
    <w:basedOn w:val="a0"/>
    <w:link w:val="a9"/>
    <w:uiPriority w:val="99"/>
    <w:rsid w:val="007661FE"/>
    <w:rPr>
      <w:sz w:val="22"/>
      <w:szCs w:val="22"/>
    </w:rPr>
  </w:style>
  <w:style w:type="paragraph" w:styleId="2">
    <w:name w:val="Body Text Indent 2"/>
    <w:basedOn w:val="a"/>
    <w:link w:val="20"/>
    <w:rsid w:val="003D3640"/>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3D3640"/>
    <w:rPr>
      <w:rFonts w:ascii="Times New Roman" w:hAnsi="Times New Roman"/>
      <w:sz w:val="24"/>
      <w:szCs w:val="24"/>
    </w:rPr>
  </w:style>
  <w:style w:type="paragraph" w:styleId="ab">
    <w:name w:val="Body Text Indent"/>
    <w:basedOn w:val="a"/>
    <w:link w:val="ac"/>
    <w:uiPriority w:val="99"/>
    <w:unhideWhenUsed/>
    <w:rsid w:val="006A0BA8"/>
    <w:pPr>
      <w:spacing w:after="120"/>
      <w:ind w:left="283"/>
    </w:pPr>
  </w:style>
  <w:style w:type="character" w:customStyle="1" w:styleId="ac">
    <w:name w:val="Основной текст с отступом Знак"/>
    <w:basedOn w:val="a0"/>
    <w:link w:val="ab"/>
    <w:uiPriority w:val="99"/>
    <w:rsid w:val="006A0BA8"/>
    <w:rPr>
      <w:sz w:val="22"/>
      <w:szCs w:val="22"/>
    </w:rPr>
  </w:style>
  <w:style w:type="table" w:styleId="ad">
    <w:name w:val="Table Grid"/>
    <w:basedOn w:val="a1"/>
    <w:uiPriority w:val="59"/>
    <w:rsid w:val="009F72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228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promservi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mservis.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94CB4-6D0D-4EA6-BF56-D3BA18C8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1391</Words>
  <Characters>9918</Characters>
  <Application>Microsoft Office Word</Application>
  <DocSecurity>0</DocSecurity>
  <Lines>284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11179</CharactersWithSpaces>
  <SharedDoc>false</SharedDoc>
  <HLinks>
    <vt:vector size="12" baseType="variant">
      <vt:variant>
        <vt:i4>458845</vt:i4>
      </vt:variant>
      <vt:variant>
        <vt:i4>3</vt:i4>
      </vt:variant>
      <vt:variant>
        <vt:i4>0</vt:i4>
      </vt:variant>
      <vt:variant>
        <vt:i4>5</vt:i4>
      </vt:variant>
      <vt:variant>
        <vt:lpwstr>http://www.promservis.ru/</vt:lpwstr>
      </vt:variant>
      <vt:variant>
        <vt:lpwstr/>
      </vt:variant>
      <vt:variant>
        <vt:i4>5636208</vt:i4>
      </vt:variant>
      <vt:variant>
        <vt:i4>0</vt:i4>
      </vt:variant>
      <vt:variant>
        <vt:i4>0</vt:i4>
      </vt:variant>
      <vt:variant>
        <vt:i4>5</vt:i4>
      </vt:variant>
      <vt:variant>
        <vt:lpwstr>mailto:support@promservis.ru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Кучкин А.О.</dc:creator>
  <cp:lastModifiedBy>SashaT</cp:lastModifiedBy>
  <cp:revision>11</cp:revision>
  <cp:lastPrinted>2016-03-02T06:16:00Z</cp:lastPrinted>
  <dcterms:created xsi:type="dcterms:W3CDTF">2016-02-25T10:22:00Z</dcterms:created>
  <dcterms:modified xsi:type="dcterms:W3CDTF">2016-03-02T06:16:00Z</dcterms:modified>
</cp:coreProperties>
</file>